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c06a8f4bd23789bbd7040519c49173a7f61fb01"/>
    <w:p>
      <w:pPr>
        <w:pStyle w:val="Heading1"/>
        <w:keepNext/>
        <w:spacing w:before="200" w:after="12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Согласие на обработку персональных данных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Версия 1.0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Дата вступления в силу: 02.09.2026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Этот документ содержит четыре текста: короткий текст для галочки при регистрации, полный текст согласия, который открывается по ссылке из галочки, текст для необязательной галочки на рассылки и текст для формы обращений на сайте.</w:t>
      </w:r>
    </w:p>
    <w:bookmarkStart w:id="28" w:name="текст-для-галочки-при-регистраци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1. Текст для галочки при регистрации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☐ Я ознакомлен(а) с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hyperlink r:id="rId20">
        <w:r>
          <w:rPr>
            <w:rStyle w:val="Hyperlink"/>
          </w:rPr>
          <w:t xml:space="preserve">Политикой конфиденциальности</w:t>
        </w:r>
      </w:hyperlink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и даю ТОО «Ausu»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hyperlink r:id="rId21">
        <w:r>
          <w:rPr>
            <w:rStyle w:val="Hyperlink"/>
          </w:rPr>
          <w:t xml:space="preserve">согласие</w:t>
        </w:r>
      </w:hyperlink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на сбор и обработку моих персональных данных, включая биометрические, на их передачу третьим лицам и трансграничную передачу в случаях, указанных в согласии, для идентификации, исполнения договора и выполнения требований законодательства о ПОД/ФТ.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☐ Я ознакомлен(а) с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hyperlink r:id="rId22">
        <w:r>
          <w:rPr>
            <w:rStyle w:val="Hyperlink"/>
          </w:rPr>
          <w:t xml:space="preserve">Публичной офертой</w:t>
        </w:r>
      </w:hyperlink>
      <w:r>
        <w:rPr>
          <w:rFonts w:ascii="Times New Roman" w:hAnsi="Times New Roman" w:eastAsia="Times New Roman" w:cs="Times New Roman"/>
          <w:color w:val="000000"/>
          <w:sz w:val="22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hyperlink r:id="rId23">
        <w:r>
          <w:rPr>
            <w:rStyle w:val="Hyperlink"/>
          </w:rPr>
          <w:t xml:space="preserve">Тарифами</w:t>
        </w:r>
      </w:hyperlink>
      <w:r>
        <w:rPr>
          <w:rFonts w:ascii="Times New Roman" w:hAnsi="Times New Roman" w:eastAsia="Times New Roman" w:cs="Times New Roman"/>
          <w:color w:val="000000"/>
          <w:sz w:val="22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hyperlink r:id="rId24">
        <w:r>
          <w:rPr>
            <w:rStyle w:val="Hyperlink"/>
          </w:rPr>
          <w:t xml:space="preserve">Уведомлением о рисках</w:t>
        </w:r>
      </w:hyperlink>
      <w:r>
        <w:rPr>
          <w:rFonts w:ascii="Times New Roman" w:hAnsi="Times New Roman" w:eastAsia="Times New Roman" w:cs="Times New Roman"/>
          <w:color w:val="000000"/>
          <w:sz w:val="22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hyperlink r:id="rId25">
        <w:r>
          <w:rPr>
            <w:rStyle w:val="Hyperlink"/>
          </w:rPr>
          <w:t xml:space="preserve">Условиями использования</w:t>
        </w:r>
      </w:hyperlink>
      <w:r>
        <w:rPr>
          <w:rFonts w:ascii="Times New Roman" w:hAnsi="Times New Roman" w:eastAsia="Times New Roman" w:cs="Times New Roman"/>
          <w:color w:val="000000"/>
          <w:sz w:val="22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hyperlink r:id="rId26">
        <w:r>
          <w:rPr>
            <w:rStyle w:val="Hyperlink"/>
          </w:rPr>
          <w:t xml:space="preserve">Правилами обращений</w:t>
        </w:r>
      </w:hyperlink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hyperlink r:id="rId27">
        <w:r>
          <w:rPr>
            <w:rStyle w:val="Hyperlink"/>
          </w:rPr>
          <w:t xml:space="preserve">Выдержкой из Правил внутреннего контроля по ПОД/ФТ</w:t>
        </w:r>
      </w:hyperlink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и принимаю их.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Кнопка: «Ознакомлен(а), принимаю».</w:t>
      </w:r>
    </w:p>
    <w:bookmarkEnd w:id="28"/>
    <w:bookmarkStart w:id="29" w:name="полный-текст-согласия-при-регистраци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2. Полный текст согласия при регистрации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Я, субъект персональных данных, даю Товариществу с ограниченной ответственностью «Ausu», БИН 260540022655 (далее «Компания»), согласие на сбор и обработку моих персональных данных на условиях ниже.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2.1. Какие данные. Фамилия, имя, отчество; дата и место рождения; гражданство; ИИН; данные документа, удостоверяющего личность; адрес; фотография; изображение лица и другие биометрические данные, полученные при идентификации; номер телефона; адрес электронной почты; банковские реквизиты и данные карты; адреса кошельков цифровых активов и данные транзакций; сведения о заявках и операциях; результаты проверок и теста; технические данные устройства и cookie; записи моих обращений.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2.2. Для чего. Идентификация и проверка по законодательству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 заключение и исполнение договора об обмене необеспеченных цифровых активов; отправка кодов подтверждения и уведомлений; защита от мошенничества; рассмотрение обращений; выполнение требований законов и запросов государственных органов.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2.3. Биометрические данные. Я даю отдельное согласие на сбор и обработку биометрических данных для подтверждения моей личности. Для граждан и резидентов Казахстана проверка проходит через Центр обмена идентификационными данными Национального Банка Республики Казахстан. Для нерезидентов проверку проводит партнёр Компании по удалённой идентификации. Согласие на биометрическую проверку подтверждается дополнительно в момент её прохождения.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2.4. Кому передаются. Провайдерам идентификации; провайдеру анализа блокчейн-транзакций; банкам и платёжным сервисам; провайдерам SMS и электронной почты; Антифрод-центру Национального Банка Республики Казахстан; уполномоченному органу по финансовому мониторингу, Национальному Банку и другим государственным органам в случаях, установленных законом.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2.5. Трансграничная передача. Если я не являюсь гражданином или резидентом Казахстана, я даю согласие на передачу моих данных иностранному партнёру Компании по удалённой идентификации для проверки личности. Я даю согласие на передачу адресов кошельков и данных транзакций иностранному провайдеру анализа блокчейн-транзакций.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2.6. Действия с данными. Сбор, запись, систематизация, накопление, хранение, уточнение, использование, передача, обезличивание, блокирование, удаление и уничтожение, в том числе с использованием автоматизированных систем.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2.7. Срок. Согласие действует весь срок обслуживания и 5 лет после его окончания. Данные, которые Компания обязана хранить по закону, хранятся не меньше 5 лет после прекращения договора или после операции.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2.8. Отзыв. Я вправе отозвать согласие, направив заявление на info@ausu.kz. Компания прекращает обработку в течение 15 рабочих дней. Обработка, которую требует закон, продолжается. После отзыва согласия обслуживание прекращается.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2.9. Я подтверждаю, что данные достоверны, что мне исполнилось 18 лет и что я ознакомлен(а) с Политикой конфиденциальности и обработки персональных данных ТОО «Ausu».</w:t>
      </w:r>
    </w:p>
    <w:bookmarkEnd w:id="29"/>
    <w:bookmarkStart w:id="30" w:name="Xfc1f2f1f4e0447cf0d8fb6298249bb97416083a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3. Текст для необязательной галочки на рассылки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☐ Я согласен (согласна) получать от ТОО «Ausu» новости и предложения по электронной почте, SMS и в мессенджерах. Я могу отказаться от рассылок в любой момент по ссылке в письме или через кабинет.</w:t>
      </w:r>
    </w:p>
    <w:bookmarkEnd w:id="30"/>
    <w:bookmarkStart w:id="31" w:name="текст-для-формы-обращений-на-сайт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4. Текст для формы обращений на сайте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☐ Я ознакомлен(а) с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hyperlink r:id="rId20">
        <w:r>
          <w:rPr>
            <w:rStyle w:val="Hyperlink"/>
          </w:rPr>
          <w:t xml:space="preserve">Политикой конфиденциальности</w:t>
        </w:r>
      </w:hyperlink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и даю ТОО «Ausu» согласие на обработку указанных в форме данных (имя, телефон, электронная почта, текст обращения и приложенные файлы) для рассмотрения моего обращения и ответа на него. Данные хранятся 5 лет. Согласие можно отозвать, написав на info@ausu.kz.</w:t>
      </w:r>
    </w:p>
    <w:bookmarkEnd w:id="31"/>
    <w:bookmarkStart w:id="32" w:name="как-фиксируется-согласи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5. Как фиксируется согласие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5.1. Компания сохраняет дату и время согласия, версию документов, IP-адрес и идентификатор аккаунта. Эта запись подтверждает факт согласия.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5.2. Согласие даётся нажатием кнопки в кабинете после подтверждения телефона и электронной почты. Это способ, позволяющий подтвердить получение согласия (статья 8 Закона Республики Казахстан «О персональных данных и их защите»).</w:t>
      </w:r>
    </w:p>
    <w:p>
      <w:pPr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pict>
          <v:rect style="width:0;height:1.5pt" o:hralign="center" o:hrstd="t" o:hr="t"/>
        </w:pict>
      </w:r>
    </w:p>
    <w:p>
      <w:pPr>
        <w:pStyle w:val="FirstParagraph"/>
        <w:spacing w:after="80"/>
        <w:jc w:val="both"/>
      </w:pP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Реквизиты Компании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Товарищество с ограниченной ответственностью «Ausu» (бренд AUSU)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БИН 260540022655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Лицензия Национального Банка Республики Казахстан № 1726001О от 30.07.2026 на обмен необеспеченных цифровых активов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Юридический адрес: Республика Казахстан, 160000, г. Шымкент, Аль-Фарабийский район, ул. Бекет Батыр, 127А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Офис и касса: г. Шымкент, ул. Аймаутова, 99/1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Телефон: +7 706 668 68 60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E-mail: info@ausu.kz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Сайт и кабинет: ausu.kz. Telegram-бот для клиентов: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</w:t>
      </w:r>
    </w:p>
    <w:bookmarkEnd w:id="32"/>
    <w:bookmarkEnd w:id="33"/>
    <w:sectPr>
      <w:pgMar w:left="1417" w:right="850" w:top="1134" w:bottom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hAnsi="Times New Roman" w:eastAsia="Times New Roman" w:cs="Times New Roman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hAnsi="Times New Roman" w:eastAsia="Times New Roman" w:cs="Times New Roman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hAnsi="Times New Roman" w:eastAsia="Times New Roman" w:cs="Times New Roman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hAnsi="Times New Roman" w:eastAsia="Times New Roman" w:cs="Times New Roman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rFonts w:ascii="Times New Roman" w:hAnsi="Times New Roman" w:eastAsia="Times New Roman" w:cs="Times New Roman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hAnsi="Times New Roman" w:eastAsia="Times New Roman" w:cs="Times New Roman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Times New Roman" w:hAnsi="Times New Roman" w:eastAsia="Times New Roman" w:cs="Times New Roman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 w:ascii="Times New Roman" w:hAnsi="Times New Roman" w:eastAsia="Times New Roman" w:cs="Times New Roman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 w:ascii="Times New Roman" w:hAnsi="Times New Roman" w:eastAsia="Times New Roman" w:cs="Times New Roman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hAnsi="Times New Roman" w:eastAsia="Times New Roman" w:cs="Times New Roman"/>
    </w:rPr>
  </w:style>
  <w:style w:default="1" w:styleId="DefaultParagraphFont" w:type="character">
    <w:name w:val="Default Paragraph Font"/>
    <w:semiHidden/>
    <w:unhideWhenUsed/>
    <w:rPr>
      <w:rFonts w:ascii="Times New Roman" w:hAnsi="Times New Roman" w:eastAsia="Times New Roman" w:cs="Times New Roman"/>
    </w:rPr>
  </w:style>
  <w:style w:default="1" w:styleId="Table" w:type="table">
    <w:name w:val="Table"/>
    <w:basedOn w:val="TableNormal"/>
    <w:semiHidden/>
    <w:unhideWhenUsed/>
    <w:qFormat/>
    <w:rPr>
      <w:rFonts w:ascii="Times New Roman" w:hAnsi="Times New Roman" w:eastAsia="Times New Roman" w:cs="Times New Roman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 w:eastAsia="Times New Roman" w:cs="Times New Roman"/>
      <w:b/>
    </w:rPr>
  </w:style>
  <w:style w:customStyle="1" w:styleId="Definition" w:type="paragraph">
    <w:name w:val="Definition"/>
    <w:basedOn w:val="Normal"/>
    <w:rPr>
      <w:rFonts w:ascii="Times New Roman" w:hAnsi="Times New Roman" w:eastAsia="Times New Roman" w:cs="Times New Roman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hAnsi="Times New Roman" w:eastAsia="Times New Roman" w:cs="Times New Roman"/>
      <w:i/>
    </w:rPr>
  </w:style>
  <w:style w:customStyle="1" w:styleId="TableCaption" w:type="paragraph">
    <w:name w:val="Table Caption"/>
    <w:basedOn w:val="Caption"/>
    <w:pPr>
      <w:keepNext/>
    </w:pPr>
    <w:rPr>
      <w:rFonts w:ascii="Times New Roman" w:hAnsi="Times New Roman" w:eastAsia="Times New Roman" w:cs="Times New Roman"/>
    </w:rPr>
  </w:style>
  <w:style w:customStyle="1" w:styleId="ImageCaption" w:type="paragraph">
    <w:name w:val="Image Caption"/>
    <w:basedOn w:val="Caption"/>
    <w:rPr>
      <w:rFonts w:ascii="Times New Roman" w:hAnsi="Times New Roman" w:eastAsia="Times New Roman" w:cs="Times New Roman"/>
    </w:rPr>
  </w:style>
  <w:style w:customStyle="1" w:styleId="Figure" w:type="paragraph">
    <w:name w:val="Figure"/>
    <w:basedOn w:val="Normal"/>
    <w:rPr>
      <w:rFonts w:ascii="Times New Roman" w:hAnsi="Times New Roman" w:eastAsia="Times New Roman" w:cs="Times New Roman"/>
    </w:rPr>
  </w:style>
  <w:style w:customStyle="1" w:styleId="CaptionedFigure" w:type="paragraph">
    <w:name w:val="Captioned Figure"/>
    <w:basedOn w:val="Figure"/>
    <w:pPr>
      <w:keepNext/>
    </w:pPr>
    <w:rPr>
      <w:rFonts w:ascii="Times New Roman" w:hAnsi="Times New Roman" w:eastAsia="Times New Roman" w:cs="Times New Roman"/>
    </w:rPr>
  </w:style>
  <w:style w:customStyle="1" w:styleId="BodyTextChar" w:type="character">
    <w:name w:val="Body Text Char"/>
    <w:basedOn w:val="DefaultParagraphFont"/>
    <w:link w:val="BodyText"/>
    <w:rPr>
      <w:rFonts w:ascii="Times New Roman" w:hAnsi="Times New Roman" w:eastAsia="Times New Roman" w:cs="Times New Roman"/>
    </w:rPr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sz w:val="22"/>
    </w:rPr>
  </w:style>
  <w:style w:customStyle="1" w:styleId="SectionNumber" w:type="character">
    <w:name w:val="Section Number"/>
    <w:basedOn w:val="BodyTextChar"/>
    <w:rPr>
      <w:rFonts w:ascii="Times New Roman" w:hAnsi="Times New Roman" w:eastAsia="Times New Roman" w:cs="Times New Roman"/>
    </w:rPr>
  </w:style>
  <w:style w:styleId="FootnoteReference" w:type="character">
    <w:name w:val="Footnote Reference"/>
    <w:basedOn w:val="BodyTextChar"/>
    <w:rPr>
      <w:rFonts w:ascii="Times New Roman" w:hAnsi="Times New Roman" w:eastAsia="Times New Roman" w:cs="Times New Roman"/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Times New Roman" w:cs="Times New Roman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Times New Roman" w:hAnsi="Times New Roman" w:eastAsia="Times New Roman" w:cs="Times New Roman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Times New Roman" w:hAnsi="Times New Roman" w:eastAsia="Times New Roman" w:cs="Times New Roman"/>
    </w:rPr>
  </w:style>
  <w:style w:type="character" w:customStyle="1" w:styleId="KeywordTok">
    <w:name w:val="Keyword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DataTypeTok">
    <w:name w:val="DataTypeTok"/>
    <w:basedOn w:val="VerbatimChar"/>
    <w:rPr>
      <w:rFonts w:ascii="Times New Roman" w:hAnsi="Times New Roman" w:eastAsia="Times New Roman" w:cs="Times New Roman"/>
      <w:color w:val="902000"/>
    </w:rPr>
  </w:style>
  <w:style w:type="character" w:customStyle="1" w:styleId="DecValTok">
    <w:name w:val="DecVal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BaseNTok">
    <w:name w:val="BaseN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FloatTok">
    <w:name w:val="Float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ConstantTok">
    <w:name w:val="ConstantTok"/>
    <w:basedOn w:val="VerbatimChar"/>
    <w:rPr>
      <w:rFonts w:ascii="Times New Roman" w:hAnsi="Times New Roman" w:eastAsia="Times New Roman" w:cs="Times New Roman"/>
      <w:color w:val="880000"/>
    </w:rPr>
  </w:style>
  <w:style w:type="character" w:customStyle="1" w:styleId="CharTok">
    <w:name w:val="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CharTok">
    <w:name w:val="Special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tringTok">
    <w:name w:val="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VerbatimStringTok">
    <w:name w:val="Verbatim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StringTok">
    <w:name w:val="SpecialStringTok"/>
    <w:basedOn w:val="VerbatimChar"/>
    <w:rPr>
      <w:rFonts w:ascii="Times New Roman" w:hAnsi="Times New Roman" w:eastAsia="Times New Roman" w:cs="Times New Roman"/>
      <w:color w:val="bb6688"/>
    </w:rPr>
  </w:style>
  <w:style w:type="character" w:customStyle="1" w:styleId="ImportTok">
    <w:name w:val="ImportTok"/>
    <w:basedOn w:val="VerbatimChar"/>
    <w:rPr>
      <w:color w:val="008000"/>
      <w:rFonts w:ascii="Times New Roman" w:hAnsi="Times New Roman" w:eastAsia="Times New Roman" w:cs="Times New Roman"/>
      <w:b/>
    </w:rPr>
  </w:style>
  <w:style w:type="character" w:customStyle="1" w:styleId="CommentTok">
    <w:name w:val="CommentTok"/>
    <w:basedOn w:val="VerbatimChar"/>
    <w:rPr>
      <w:color w:val="60a0b0"/>
      <w:rFonts w:ascii="Times New Roman" w:hAnsi="Times New Roman" w:eastAsia="Times New Roman" w:cs="Times New Roman"/>
      <w:i/>
    </w:rPr>
  </w:style>
  <w:style w:type="character" w:customStyle="1" w:styleId="DocumentationTok">
    <w:name w:val="DocumentationTok"/>
    <w:basedOn w:val="VerbatimChar"/>
    <w:rPr>
      <w:color w:val="ba2121"/>
      <w:rFonts w:ascii="Times New Roman" w:hAnsi="Times New Roman" w:eastAsia="Times New Roman" w:cs="Times New Roman"/>
      <w:i/>
    </w:rPr>
  </w:style>
  <w:style w:type="character" w:customStyle="1" w:styleId="AnnotationTok">
    <w:name w:val="Annot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CommentVarTok">
    <w:name w:val="CommentVar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OtherTok">
    <w:name w:val="OtherTok"/>
    <w:basedOn w:val="VerbatimChar"/>
    <w:rPr>
      <w:rFonts w:ascii="Times New Roman" w:hAnsi="Times New Roman" w:eastAsia="Times New Roman" w:cs="Times New Roman"/>
      <w:color w:val="007020"/>
    </w:rPr>
  </w:style>
  <w:style w:type="character" w:customStyle="1" w:styleId="FunctionTok">
    <w:name w:val="FunctionTok"/>
    <w:basedOn w:val="VerbatimChar"/>
    <w:rPr>
      <w:rFonts w:ascii="Times New Roman" w:hAnsi="Times New Roman" w:eastAsia="Times New Roman" w:cs="Times New Roman"/>
      <w:color w:val="06287e"/>
    </w:rPr>
  </w:style>
  <w:style w:type="character" w:customStyle="1" w:styleId="VariableTok">
    <w:name w:val="VariableTok"/>
    <w:basedOn w:val="VerbatimChar"/>
    <w:rPr>
      <w:rFonts w:ascii="Times New Roman" w:hAnsi="Times New Roman" w:eastAsia="Times New Roman" w:cs="Times New Roman"/>
      <w:color w:val="19177c"/>
    </w:rPr>
  </w:style>
  <w:style w:type="character" w:customStyle="1" w:styleId="ControlFlowTok">
    <w:name w:val="ControlFlow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OperatorTok">
    <w:name w:val="OperatorTok"/>
    <w:basedOn w:val="VerbatimChar"/>
    <w:rPr>
      <w:rFonts w:ascii="Times New Roman" w:hAnsi="Times New Roman" w:eastAsia="Times New Roman" w:cs="Times New Roman"/>
      <w:color w:val="666666"/>
    </w:rPr>
  </w:style>
  <w:style w:type="character" w:customStyle="1" w:styleId="BuiltInTok">
    <w:name w:val="BuiltInTok"/>
    <w:basedOn w:val="VerbatimChar"/>
    <w:rPr>
      <w:rFonts w:ascii="Times New Roman" w:hAnsi="Times New Roman" w:eastAsia="Times New Roman" w:cs="Times New Roman"/>
      <w:color w:val="008000"/>
    </w:rPr>
  </w:style>
  <w:style w:type="character" w:customStyle="1" w:styleId="ExtensionTok">
    <w:name w:val="ExtensionTok"/>
    <w:basedOn w:val="VerbatimChar"/>
    <w:rPr>
      <w:rFonts w:ascii="Times New Roman" w:hAnsi="Times New Roman" w:eastAsia="Times New Roman" w:cs="Times New Roman"/>
    </w:rPr>
  </w:style>
  <w:style w:type="character" w:customStyle="1" w:styleId="PreprocessorTok">
    <w:name w:val="PreprocessorTok"/>
    <w:basedOn w:val="VerbatimChar"/>
    <w:rPr>
      <w:rFonts w:ascii="Times New Roman" w:hAnsi="Times New Roman" w:eastAsia="Times New Roman" w:cs="Times New Roman"/>
      <w:color w:val="bc7a00"/>
    </w:rPr>
  </w:style>
  <w:style w:type="character" w:customStyle="1" w:styleId="AttributeTok">
    <w:name w:val="AttributeTok"/>
    <w:basedOn w:val="VerbatimChar"/>
    <w:rPr>
      <w:rFonts w:ascii="Times New Roman" w:hAnsi="Times New Roman" w:eastAsia="Times New Roman" w:cs="Times New Roman"/>
      <w:color w:val="7d9029"/>
    </w:rPr>
  </w:style>
  <w:style w:type="character" w:customStyle="1" w:styleId="RegionMarkerTok">
    <w:name w:val="RegionMarkerTok"/>
    <w:basedOn w:val="VerbatimChar"/>
    <w:rPr>
      <w:rFonts w:ascii="Times New Roman" w:hAnsi="Times New Roman" w:eastAsia="Times New Roman" w:cs="Times New Roman"/>
    </w:rPr>
  </w:style>
  <w:style w:type="character" w:customStyle="1" w:styleId="InformationTok">
    <w:name w:val="Inform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WarningTok">
    <w:name w:val="Warning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AlertTok">
    <w:name w:val="Alert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ErrorTok">
    <w:name w:val="Error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NormalTok">
    <w:name w:val="NormalTok"/>
    <w:basedOn w:val="VerbatimChar"/>
    <w:rPr>
      <w:rFonts w:ascii="Times New Roman" w:hAnsi="Times New Roman" w:eastAsia="Times New Roman" w:cs="Times New Roman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27" Type="http://schemas.openxmlformats.org/officeDocument/2006/relationships/hyperlink" Target="/legal/aml-public" TargetMode="External"/><Relationship Id="rId26" Type="http://schemas.openxmlformats.org/officeDocument/2006/relationships/hyperlink" Target="/legal/complaints" TargetMode="External"/><Relationship Id="rId21" Type="http://schemas.openxmlformats.org/officeDocument/2006/relationships/hyperlink" Target="/legal/consents" TargetMode="External"/><Relationship Id="rId22" Type="http://schemas.openxmlformats.org/officeDocument/2006/relationships/hyperlink" Target="/legal/offer" TargetMode="External"/><Relationship Id="rId20" Type="http://schemas.openxmlformats.org/officeDocument/2006/relationships/hyperlink" Target="/legal/privacy" TargetMode="External"/><Relationship Id="rId24" Type="http://schemas.openxmlformats.org/officeDocument/2006/relationships/hyperlink" Target="/legal/risks" TargetMode="External"/><Relationship Id="rId23" Type="http://schemas.openxmlformats.org/officeDocument/2006/relationships/hyperlink" Target="/legal/tariffs" TargetMode="External"/><Relationship Id="rId25" Type="http://schemas.openxmlformats.org/officeDocument/2006/relationships/hyperlink" Target="/legal/terms" TargetMode="External"/></Relationships>
</file>

<file path=word/_rels/footnotes.xml.rels><?xml version='1.0' encoding='UTF-8' standalone='yes'?>
<Relationships xmlns="http://schemas.openxmlformats.org/package/2006/relationships"><Relationship Id="rId27" Type="http://schemas.openxmlformats.org/officeDocument/2006/relationships/hyperlink" Target="/legal/aml-public" TargetMode="External"/><Relationship Id="rId26" Type="http://schemas.openxmlformats.org/officeDocument/2006/relationships/hyperlink" Target="/legal/complaints" TargetMode="External"/><Relationship Id="rId21" Type="http://schemas.openxmlformats.org/officeDocument/2006/relationships/hyperlink" Target="/legal/consents" TargetMode="External"/><Relationship Id="rId22" Type="http://schemas.openxmlformats.org/officeDocument/2006/relationships/hyperlink" Target="/legal/offer" TargetMode="External"/><Relationship Id="rId20" Type="http://schemas.openxmlformats.org/officeDocument/2006/relationships/hyperlink" Target="/legal/privacy" TargetMode="External"/><Relationship Id="rId24" Type="http://schemas.openxmlformats.org/officeDocument/2006/relationships/hyperlink" Target="/legal/risks" TargetMode="External"/><Relationship Id="rId23" Type="http://schemas.openxmlformats.org/officeDocument/2006/relationships/hyperlink" Target="/legal/tariffs" TargetMode="External"/><Relationship Id="rId25" Type="http://schemas.openxmlformats.org/officeDocument/2006/relationships/hyperlink" Target="/legal/te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2026-09-11T09:55:23Z</dcterms:created>
  <dcterms:modified xsi:type="dcterms:W3CDTF">2026-09-11T09:55:23Z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