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7c96e9baa23eab4bc3e4f9c16605689f5364173"/>
    <w:p>
      <w:pPr>
        <w:pStyle w:val="Heading1"/>
        <w:keepNext/>
        <w:spacing w:before="200" w:after="120"/>
        <w:jc w:val="center"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Политика конфиденциальности и обработки персональных данных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Версия 1.0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Дата вступления в силу: 02.09.2026</w:t>
      </w:r>
    </w:p>
    <w:bookmarkStart w:id="20" w:name="кто-обрабатывает-ваши-данные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1. Кто обрабатывает ваши данные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1.1. Ваши персональные данные собирает и обрабатывает ТОО «Ausu» (далее «Компания», «мы»). Компания является собственником и оператором базы персональных данных по Закону Республики Казахстан «О персональных данных и их защите» от 21.05.2013 № 94-V (далее «Закон о персональных данных»).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1.2. Политика действует для сайта ausu.kz, кабинета на нём, кассы Компании и всех каналов связи с нами.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1.3. Вопросы по персональным данным направляйте на info@ausu.kz с пометкой «Персональные данные». В Компании назначено лицо, ответственное за организацию обработки персональных данных.</w:t>
      </w:r>
    </w:p>
    <w:bookmarkEnd w:id="20"/>
    <w:bookmarkStart w:id="21" w:name="какие-данные-мы-собираем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2. Какие данные мы собираем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2.1. Данные для идентификации: фамилия, имя, отчество, дата рождения, гражданство, ИИН (при наличии), данные документа, удостоверяющего личность, адрес регистрации и проживания, фотография.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2.2. Биометрические данные: изображение лица для сравнения с документом. Для граждан и резидентов Казахстана биометрическая идентификация проходит через Центр обмена идентификационными данными Национального Банка (ЦОИД). Для нерезидентов её проводит наш партнёр по удалённой идентификации. Мы получаем результат проверки и данные документа. Биометрические данные мы обрабатываем только с вашего отдельного согласия.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2.3. Контактные данные: номер телефона, адрес электронной почты, аккаунт в мессенджере, если вы пишете нам через него.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2.4. Платёжные данные: IBAN, наименование банка, номер карты в маскированном виде, имя владельца счёта или карты.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2.5. Данные о цифровых активах: адреса кошельков, название сети, вид кошелька (аппаратный или программный), идентификаторы транзакций, сведения об отправителе и получателе USDT, которые мы обязаны собирать по правилам о прозрачности переводов.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2.6. Данные об операциях: заявки, суммы, курсы, даты, статусы, документы об операциях, переписка по заявкам.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2.7. Данные проверок: результат идентификации, результат теста на знание цифровых активов, уровень риска, результаты проверки кошельков и операций, ответы на наши запросы, документы о происхождении денег и активов.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2.8. Данные о юридическом лице: сведения о компании, руководителе, представителе и бенефициарных собственниках, учредительные документы.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2.9. Технические данные: IP-адрес, данные устройства и браузера, дата и время входа, действия в кабинете, cookie.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2.10. Записи обращений: письма, сообщения в мессенджерах, обращения через сайт и кабинет.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2.11. Видеозапись в кассе. В кассе ведётся видеонаблюдение для безопасности клиентов и работников. Об этом сообщает табличка при входе.</w:t>
      </w:r>
    </w:p>
    <w:bookmarkEnd w:id="21"/>
    <w:bookmarkStart w:id="22" w:name="зачем-мы-собираем-данные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3. Зачем мы собираем данные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3.1. Чтобы проверить вашу личность и выполнить Закон о ПОД/ФТ. Это обязательная проверка. Без неё мы не вправе вас обслуживать.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3.2. Чтобы заключить и исполнить договор: создать кабинет, принять и исполнить заявку, выплатить деньги, выдать документ об операции.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3.3. Чтобы отправлять вам коды подтверждения и уведомления о заявках, безопасности и изменениях документов.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3.4. Чтобы защищать вас и Компанию от мошенничества и несанкционированного доступа. Для этого мы обмениваемся данными о подозрительных платежах с Антифрод-центром Национального Банка.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3.5. Чтобы рассматривать обращения и жалобы.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3.6. Чтобы выполнять требования законов: хранить сведения, передавать отчётность, отвечать на запросы государственных органов.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3.7. Чтобы направлять вам рекламные и информационные рассылки. Это делается только с вашего отдельного согласия. Вы можете отказаться от рассылок в любой момент.</w:t>
      </w:r>
    </w:p>
    <w:bookmarkEnd w:id="22"/>
    <w:bookmarkStart w:id="23" w:name="на-каком-основании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4. На каком основании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4.1. Мы обрабатываем данные на основании вашего согласия, договора с вами и требований законов.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4.2. Закон о ПОД/ФТ, Закон «О цифровых активах в Республике Казахстан» и правила Национального Банка обязывают нас собирать и хранить данные о клиентах и операциях. Такая обработка не требует согласия (статья 9 Закона о персональных данных). Отзыв согласия не останавливает обработку, которую требует закон.</w:t>
      </w:r>
    </w:p>
    <w:bookmarkEnd w:id="23"/>
    <w:bookmarkStart w:id="24" w:name="кому-мы-передаём-данные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5. Кому мы передаём данные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5.1. Провайдерам идентификации: ЦОИД Национального Банка для граждан и резидентов Казахстана, партнёру по удалённой идентификации для нерезидентов.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5.2. Провайдеру анализа блокчейн-транзакций. Ему передаются адреса кошельков и идентификаторы транзакций для оценки риска.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5.3. Банкам и платёжным сервисам для приёма оплаты и выплаты денег.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5.4. Провайдеру SMS и электронной почты для отправки кодов и уведомлений.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5.5. Антифрод-центру Национального Банка Республики Казахстан в целях защиты от мошенничества.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5.6. Уполномоченному органу по финансовому мониторингу (АФМ) в случаях, установленных Законом о ПОД/ФТ, и по его запросу.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5.7. Национальному Банку Республики Казахстан как надзорному органу по его запросу. Регулярная отчётность в Национальный Банк подаётся в обобщённом виде без ваших личных данных.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5.8. Правоохранительным органам, судам и другим государственным органам по законному запросу.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5.9. Мы не продаём персональные данные и не передаём их для чужой рекламы.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5.10. Все получатели обязаны соблюдать конфиденциальность. Мы передаём только те данные, которые нужны для конкретной цели.</w:t>
      </w:r>
    </w:p>
    <w:bookmarkEnd w:id="24"/>
    <w:bookmarkStart w:id="25" w:name="передача-данных-за-пределы-казахстана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6. Передача данных за пределы Казахстана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6.1. Персональные данные хранятся в базах на территории Республики Казахстан (статья 12 Закона о персональных данных).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6.2. Для нерезидентов удалённую идентификацию проводит иностранный партнёр. Для этого данные передаются за пределы Казахстана. Такая передача возможна в страны, обеспечивающие защиту персональных данных, или с вашего согласия (статья 16 Закона о персональных данных). Согласие вы даёте при регистрации.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6.3. Анализ блокчейн-транзакций может проводить иностранный провайдер. Ему передаются адреса кошельков и идентификаторы транзакций без ваших имени и документов.</w:t>
      </w:r>
    </w:p>
    <w:bookmarkEnd w:id="25"/>
    <w:bookmarkStart w:id="26" w:name="сколько-мы-храним-данные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7. Сколько мы храним данные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7.1. Данные о клиенте и операциях мы храним весь срок обслуживания и не меньше 5 лет после прекращения договора или после совершения операции. Так требуют Закон о ПОД/ФТ и правила Национального Банка.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7.2. Записи обращений и жалоб храним 5 лет. Видеозаписи из кассы храним до 90 дней, если они не нужны для расследования инцидента.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7.3. Технические данные и cookie храним до 12 месяцев, если они не нужны для расследования инцидента.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7.4. Данные лиц, которые начали регистрацию и не прошли идентификацию, храним до 12 месяцев.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7.5. После истечения сроков данные удаляются или обезличиваются.</w:t>
      </w:r>
    </w:p>
    <w:bookmarkEnd w:id="26"/>
    <w:bookmarkStart w:id="27" w:name="как-мы-защищаем-данные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8. Как мы защищаем данные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8.1. Доступ к данным имеют только работники, которым он нужен по должности. Доступ выдаётся приказом и отзывается при увольнении.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8.2. Данные передаются по защищённым каналам и хранятся в зашифрованном виде. Все действия с данными записываются в журналы.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8.3. Мы выполняем требования Национального Банка к информационной безопасности операторов обмена цифровых активов.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8.4. При утечке персональных данных мы уведомляем уполномоченный орган в течение 1 рабочего дня с момента обнаружения и сообщаем вам, если утечка затрагивает ваши права.</w:t>
      </w:r>
    </w:p>
    <w:bookmarkEnd w:id="27"/>
    <w:bookmarkStart w:id="28" w:name="ваши-права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9. Ваши права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9.1. Вы вправе знать, какие данные о вас у нас есть, откуда они получены и для чего используются.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9.2. Вы вправе требовать исправить или дополнить неточные данные. Мы делаем это в течение 1 рабочего дня после подтверждения (статья 25 Закона о персональных данных).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9.3. Вы вправе требовать заблокировать или уничтожить данные, если они обрабатываются с нарушением закона. Блокирование проводится в течение 1 рабочего дня. Данные, которые мы обязаны хранить по Закону о ПОД/ФТ, не уничтожаются до окончания срока хранения.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9.4. Вы вправе отозвать согласие на обработку данных. После отзыва мы прекращаем обработку в течение 15 рабочих дней. Обработка, которую требует закон, продолжается. Данные, которые мы обязаны хранить 5 лет, не удаляются до окончания этого срока. После отзыва согласия обслуживание прекращается.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9.5. Вы вправе отказаться от рекламных рассылок.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9.6. Вы вправе получить возмещение вреда, причинённого нарушением ваших прав.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9.7. Для реализации прав направьте запрос на info@ausu.kz с адреса электронной почты, указанного в кабинете, или через кабинет. Мы можем попросить подтвердить личность. Мы отвечаем в течение 10 календарных дней.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9.8. Вы вправе подать жалобу в уполномоченный орган по защите персональных данных Республики Казахстан (Комитет по информационной безопасности Министерства цифрового развития, инноваций и аэрокосмической промышленности) или в суд.</w:t>
      </w:r>
    </w:p>
    <w:bookmarkEnd w:id="28"/>
    <w:bookmarkStart w:id="29" w:name="cookie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10. Cookie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10.1. Сайт и кабинет используют cookie. Подробно об этом написано в документе «Политика cookie».</w:t>
      </w:r>
    </w:p>
    <w:bookmarkEnd w:id="29"/>
    <w:bookmarkStart w:id="30" w:name="дети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11. Дети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11.1. Мы не обслуживаем лиц младше 18 лет и не собираем их данные намеренно. Если такие данные попали к нам, мы их удаляем.</w:t>
      </w:r>
    </w:p>
    <w:bookmarkEnd w:id="30"/>
    <w:bookmarkStart w:id="31" w:name="изменения-политики"/>
    <w:p>
      <w:pPr>
        <w:pStyle w:val="Heading2"/>
        <w:keepNext/>
        <w:spacing w:before="200" w:after="120"/>
      </w:pPr>
      <w:r>
        <w:rPr>
          <w:rFonts w:ascii="Times New Roman" w:hAnsi="Times New Roman" w:eastAsia="Times New Roman" w:cs="Times New Roman"/>
          <w:b/>
          <w:color w:val="000000"/>
          <w:sz w:val="26"/>
        </w:rPr>
        <w:t xml:space="preserve">12. Изменения политики</w:t>
      </w:r>
    </w:p>
    <w:p>
      <w:pPr>
        <w:pStyle w:val="FirstParagraph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12.1. Мы вправе менять политику. Новая версия публикуется на сайте ausu.kz в разделе /legal/ и в кабинете с номером версии и датой вступления в силу.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12.2. Если изменения существенно меняют цели обработки, мы запрашиваем новое согласие.</w:t>
      </w:r>
    </w:p>
    <w:p>
      <w:pPr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pict>
          <v:rect style="width:0;height:1.5pt" o:hralign="center" o:hrstd="t" o:hr="t"/>
        </w:pict>
      </w:r>
    </w:p>
    <w:p>
      <w:pPr>
        <w:pStyle w:val="FirstParagraph"/>
        <w:spacing w:after="80"/>
        <w:jc w:val="both"/>
      </w:pPr>
      <w:r>
        <w:rPr>
          <w:bCs/>
          <w:rFonts w:ascii="Times New Roman" w:hAnsi="Times New Roman" w:eastAsia="Times New Roman" w:cs="Times New Roman"/>
          <w:b/>
          <w:color w:val="000000"/>
          <w:sz w:val="22"/>
        </w:rPr>
        <w:t xml:space="preserve">Реквизиты Компании</w:t>
      </w:r>
    </w:p>
    <w:p>
      <w:pPr>
        <w:pStyle w:val="BodyText"/>
        <w:spacing w:after="80"/>
        <w:jc w:val="both"/>
      </w:pPr>
      <w:r>
        <w:rPr>
          <w:rFonts w:ascii="Times New Roman" w:hAnsi="Times New Roman" w:eastAsia="Times New Roman" w:cs="Times New Roman"/>
          <w:color w:val="000000"/>
          <w:sz w:val="22"/>
        </w:rPr>
        <w:t xml:space="preserve">Товарищество с ограниченной ответственностью «Ausu» (бренд AUSU)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БИН 260540022655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Лицензия Национального Банка Республики Казахстан № 1726001О от 30.07.2026 на обмен необеспеченных цифровых активов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Юридический адрес: Республика Казахстан, 160000, г. Шымкент, Аль-Фарабийский район, ул. Бекет Батыр, 127А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Офис и касса: г. Шымкент, ул. Аймаутова, 99/1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Телефон: +7 706 668 68 60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E-mail: info@ausu.kz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Сайт и кабинет: ausu.kz. Telegram-бот для клиентов: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@ausu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_kzbot</w:t>
      </w:r>
    </w:p>
    <w:bookmarkEnd w:id="31"/>
    <w:bookmarkEnd w:id="32"/>
    <w:sectPr>
      <w:pgMar w:left="1417" w:right="850" w:top="1134" w:bottom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link w:val="BodyTextChar"/>
    <w:pPr>
      <w:spacing w:after="180" w:before="180"/>
    </w:pPr>
    <w:qFormat/>
    <w:rPr>
      <w:rFonts w:ascii="Times New Roman" w:hAnsi="Times New Roman" w:eastAsia="Times New Roman" w:cs="Times New Roman"/>
    </w:rPr>
  </w:style>
  <w:style w:customStyle="1" w:styleId="FirstParagraph" w:type="paragraph">
    <w:name w:val="First Paragraph"/>
    <w:basedOn w:val="BodyText"/>
    <w:next w:val="BodyText"/>
    <w:qFormat/>
    <w:rPr>
      <w:rFonts w:ascii="Times New Roman" w:hAnsi="Times New Roman" w:eastAsia="Times New Roman" w:cs="Times New Roman"/>
    </w:rPr>
  </w:style>
  <w:style w:customStyle="1" w:styleId="Compact" w:type="paragraph">
    <w:name w:val="Compact"/>
    <w:basedOn w:val="BodyText"/>
    <w:qFormat/>
    <w:pPr>
      <w:spacing w:after="36" w:before="36"/>
    </w:pPr>
    <w:rPr>
      <w:rFonts w:ascii="Times New Roman" w:hAnsi="Times New Roman" w:eastAsia="Times New Roman" w:cs="Times New Roman"/>
    </w:r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 w:ascii="Times New Roman" w:hAnsi="Times New Roman" w:eastAsia="Times New Roman" w:cs="Times New Roman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rFonts w:ascii="Times New Roman" w:hAnsi="Times New Roman" w:eastAsia="Times New Roman" w:cs="Times New Roman"/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  <w:rPr>
      <w:rFonts w:ascii="Times New Roman" w:hAnsi="Times New Roman" w:eastAsia="Times New Roman" w:cs="Times New Roman"/>
    </w:rPr>
  </w:style>
  <w:style w:styleId="Date" w:type="paragraph">
    <w:name w:val="Date"/>
    <w:next w:val="BodyText"/>
    <w:qFormat/>
    <w:pPr>
      <w:keepNext/>
      <w:keepLines/>
      <w:jc w:val="center"/>
    </w:pPr>
    <w:rPr>
      <w:rFonts w:ascii="Times New Roman" w:hAnsi="Times New Roman" w:eastAsia="Times New Roman" w:cs="Times New Roman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rFonts w:ascii="Times New Roman" w:hAnsi="Times New Roman" w:eastAsia="Times New Roman" w:cs="Times New Roman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rFonts w:ascii="Times New Roman" w:hAnsi="Times New Roman" w:eastAsia="Times New Roman" w:cs="Times New Roman"/>
      <w:sz w:val="20"/>
      <w:szCs w:val="20"/>
    </w:rPr>
  </w:style>
  <w:style w:styleId="Bibliography" w:type="paragraph">
    <w:name w:val="Bibliography"/>
    <w:basedOn w:val="Normal"/>
    <w:next w:val="Bibliography"/>
    <w:qFormat/>
    <w:pPr/>
    <w:rPr>
      <w:rFonts w:ascii="Times New Roman" w:hAnsi="Times New Roman" w:eastAsia="Times New Roman" w:cs="Times New Roman"/>
    </w:rPr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 w:ascii="Times New Roman" w:hAnsi="Times New Roman" w:eastAsia="Times New Roman" w:cs="Times New Roman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 w:ascii="Times New Roman" w:hAnsi="Times New Roman" w:eastAsia="Times New Roman" w:cs="Times New Roman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 w:ascii="Times New Roman" w:hAnsi="Times New Roman" w:eastAsia="Times New Roman" w:cs="Times New Roman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 w:ascii="Times New Roman" w:hAnsi="Times New Roman" w:eastAsia="Times New Roman" w:cs="Times New Roman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 w:ascii="Times New Roman" w:hAnsi="Times New Roman" w:eastAsia="Times New Roman" w:cs="Times New Roman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 w:ascii="Times New Roman" w:hAnsi="Times New Roman" w:eastAsia="Times New Roman" w:cs="Times New Roman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 w:ascii="Times New Roman" w:hAnsi="Times New Roman" w:eastAsia="Times New Roman" w:cs="Times New Roman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 w:ascii="Times New Roman" w:hAnsi="Times New Roman" w:eastAsia="Times New Roman" w:cs="Times New Roman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 w:ascii="Times New Roman" w:hAnsi="Times New Roman" w:eastAsia="Times New Roman" w:cs="Times New Roman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  <w:rPr>
      <w:rFonts w:ascii="Times New Roman" w:hAnsi="Times New Roman" w:eastAsia="Times New Roman" w:cs="Times New Roman"/>
    </w:rPr>
  </w:style>
  <w:style w:styleId="FootnoteText" w:type="paragraph">
    <w:name w:val="Footnote Text"/>
    <w:basedOn w:val="Normal"/>
    <w:next w:val="FootnoteText"/>
    <w:uiPriority w:val="9"/>
    <w:unhideWhenUsed/>
    <w:qFormat/>
    <w:rPr>
      <w:rFonts w:ascii="Times New Roman" w:hAnsi="Times New Roman" w:eastAsia="Times New Roman" w:cs="Times New Roman"/>
    </w:rPr>
  </w:style>
  <w:style w:default="1" w:styleId="DefaultParagraphFont" w:type="character">
    <w:name w:val="Default Paragraph Font"/>
    <w:semiHidden/>
    <w:unhideWhenUsed/>
    <w:rPr>
      <w:rFonts w:ascii="Times New Roman" w:hAnsi="Times New Roman" w:eastAsia="Times New Roman" w:cs="Times New Roman"/>
    </w:rPr>
  </w:style>
  <w:style w:default="1" w:styleId="Table" w:type="table">
    <w:name w:val="Table"/>
    <w:basedOn w:val="TableNormal"/>
    <w:semiHidden/>
    <w:unhideWhenUsed/>
    <w:qFormat/>
    <w:rPr>
      <w:rFonts w:ascii="Times New Roman" w:hAnsi="Times New Roman" w:eastAsia="Times New Roman" w:cs="Times New Roman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rFonts w:ascii="Times New Roman" w:hAnsi="Times New Roman" w:eastAsia="Times New Roman" w:cs="Times New Roman"/>
      <w:b/>
    </w:rPr>
  </w:style>
  <w:style w:customStyle="1" w:styleId="Definition" w:type="paragraph">
    <w:name w:val="Definition"/>
    <w:basedOn w:val="Normal"/>
    <w:rPr>
      <w:rFonts w:ascii="Times New Roman" w:hAnsi="Times New Roman" w:eastAsia="Times New Roman" w:cs="Times New Roman"/>
    </w:rPr>
  </w:style>
  <w:style w:styleId="Caption" w:type="paragraph">
    <w:name w:val="Caption"/>
    <w:basedOn w:val="Normal"/>
    <w:link w:val="BodyTextChar"/>
    <w:pPr>
      <w:spacing w:after="120" w:before="0"/>
    </w:pPr>
    <w:rPr>
      <w:rFonts w:ascii="Times New Roman" w:hAnsi="Times New Roman" w:eastAsia="Times New Roman" w:cs="Times New Roman"/>
      <w:i/>
    </w:rPr>
  </w:style>
  <w:style w:customStyle="1" w:styleId="TableCaption" w:type="paragraph">
    <w:name w:val="Table Caption"/>
    <w:basedOn w:val="Caption"/>
    <w:pPr>
      <w:keepNext/>
    </w:pPr>
    <w:rPr>
      <w:rFonts w:ascii="Times New Roman" w:hAnsi="Times New Roman" w:eastAsia="Times New Roman" w:cs="Times New Roman"/>
    </w:rPr>
  </w:style>
  <w:style w:customStyle="1" w:styleId="ImageCaption" w:type="paragraph">
    <w:name w:val="Image Caption"/>
    <w:basedOn w:val="Caption"/>
    <w:rPr>
      <w:rFonts w:ascii="Times New Roman" w:hAnsi="Times New Roman" w:eastAsia="Times New Roman" w:cs="Times New Roman"/>
    </w:rPr>
  </w:style>
  <w:style w:customStyle="1" w:styleId="Figure" w:type="paragraph">
    <w:name w:val="Figure"/>
    <w:basedOn w:val="Normal"/>
    <w:rPr>
      <w:rFonts w:ascii="Times New Roman" w:hAnsi="Times New Roman" w:eastAsia="Times New Roman" w:cs="Times New Roman"/>
    </w:rPr>
  </w:style>
  <w:style w:customStyle="1" w:styleId="CaptionedFigure" w:type="paragraph">
    <w:name w:val="Captioned Figure"/>
    <w:basedOn w:val="Figure"/>
    <w:pPr>
      <w:keepNext/>
    </w:pPr>
    <w:rPr>
      <w:rFonts w:ascii="Times New Roman" w:hAnsi="Times New Roman" w:eastAsia="Times New Roman" w:cs="Times New Roman"/>
    </w:rPr>
  </w:style>
  <w:style w:customStyle="1" w:styleId="BodyTextChar" w:type="character">
    <w:name w:val="Body Text Char"/>
    <w:basedOn w:val="DefaultParagraphFont"/>
    <w:link w:val="BodyText"/>
    <w:rPr>
      <w:rFonts w:ascii="Times New Roman" w:hAnsi="Times New Roman" w:eastAsia="Times New Roman" w:cs="Times New Roman"/>
    </w:rPr>
  </w:style>
  <w:style w:customStyle="1" w:styleId="VerbatimChar" w:type="character">
    <w:name w:val="Verbatim Char"/>
    <w:basedOn w:val="BodyTextChar"/>
    <w:rPr>
      <w:rFonts w:ascii="Times New Roman" w:hAnsi="Times New Roman" w:eastAsia="Times New Roman" w:cs="Times New Roman"/>
      <w:sz w:val="22"/>
    </w:rPr>
  </w:style>
  <w:style w:customStyle="1" w:styleId="SectionNumber" w:type="character">
    <w:name w:val="Section Number"/>
    <w:basedOn w:val="BodyTextChar"/>
    <w:rPr>
      <w:rFonts w:ascii="Times New Roman" w:hAnsi="Times New Roman" w:eastAsia="Times New Roman" w:cs="Times New Roman"/>
    </w:rPr>
  </w:style>
  <w:style w:styleId="FootnoteReference" w:type="character">
    <w:name w:val="Footnote Reference"/>
    <w:basedOn w:val="BodyTextChar"/>
    <w:rPr>
      <w:rFonts w:ascii="Times New Roman" w:hAnsi="Times New Roman" w:eastAsia="Times New Roman" w:cs="Times New Roman"/>
      <w:vertAlign w:val="superscript"/>
    </w:rPr>
  </w:style>
  <w:style w:styleId="Hyperlink" w:type="character">
    <w:name w:val="Hyperlink"/>
    <w:basedOn w:val="BodyTextChar"/>
    <w:rPr>
      <w:rFonts w:ascii="Times New Roman" w:hAnsi="Times New Roman" w:eastAsia="Times New Roman" w:cs="Times New Roman"/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 w:ascii="Times New Roman" w:hAnsi="Times New Roman" w:eastAsia="Times New Roman" w:cs="Times New Roman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  <w:rPr>
      <w:rFonts w:ascii="Times New Roman" w:hAnsi="Times New Roman" w:eastAsia="Times New Roman" w:cs="Times New Roman"/>
    </w:rPr>
  </w:style>
  <w:style w:type="character" w:customStyle="1" w:styleId="KeywordTok">
    <w:name w:val="KeywordTok"/>
    <w:basedOn w:val="VerbatimChar"/>
    <w:rPr>
      <w:color w:val="007020"/>
      <w:rFonts w:ascii="Times New Roman" w:hAnsi="Times New Roman" w:eastAsia="Times New Roman" w:cs="Times New Roman"/>
      <w:b/>
    </w:rPr>
  </w:style>
  <w:style w:type="character" w:customStyle="1" w:styleId="DataTypeTok">
    <w:name w:val="DataTypeTok"/>
    <w:basedOn w:val="VerbatimChar"/>
    <w:rPr>
      <w:rFonts w:ascii="Times New Roman" w:hAnsi="Times New Roman" w:eastAsia="Times New Roman" w:cs="Times New Roman"/>
      <w:color w:val="902000"/>
    </w:rPr>
  </w:style>
  <w:style w:type="character" w:customStyle="1" w:styleId="DecValTok">
    <w:name w:val="DecValTok"/>
    <w:basedOn w:val="VerbatimChar"/>
    <w:rPr>
      <w:rFonts w:ascii="Times New Roman" w:hAnsi="Times New Roman" w:eastAsia="Times New Roman" w:cs="Times New Roman"/>
      <w:color w:val="40a070"/>
    </w:rPr>
  </w:style>
  <w:style w:type="character" w:customStyle="1" w:styleId="BaseNTok">
    <w:name w:val="BaseNTok"/>
    <w:basedOn w:val="VerbatimChar"/>
    <w:rPr>
      <w:rFonts w:ascii="Times New Roman" w:hAnsi="Times New Roman" w:eastAsia="Times New Roman" w:cs="Times New Roman"/>
      <w:color w:val="40a070"/>
    </w:rPr>
  </w:style>
  <w:style w:type="character" w:customStyle="1" w:styleId="FloatTok">
    <w:name w:val="FloatTok"/>
    <w:basedOn w:val="VerbatimChar"/>
    <w:rPr>
      <w:rFonts w:ascii="Times New Roman" w:hAnsi="Times New Roman" w:eastAsia="Times New Roman" w:cs="Times New Roman"/>
      <w:color w:val="40a070"/>
    </w:rPr>
  </w:style>
  <w:style w:type="character" w:customStyle="1" w:styleId="ConstantTok">
    <w:name w:val="ConstantTok"/>
    <w:basedOn w:val="VerbatimChar"/>
    <w:rPr>
      <w:rFonts w:ascii="Times New Roman" w:hAnsi="Times New Roman" w:eastAsia="Times New Roman" w:cs="Times New Roman"/>
      <w:color w:val="880000"/>
    </w:rPr>
  </w:style>
  <w:style w:type="character" w:customStyle="1" w:styleId="CharTok">
    <w:name w:val="CharTok"/>
    <w:basedOn w:val="VerbatimChar"/>
    <w:rPr>
      <w:rFonts w:ascii="Times New Roman" w:hAnsi="Times New Roman" w:eastAsia="Times New Roman" w:cs="Times New Roman"/>
      <w:color w:val="4070a0"/>
    </w:rPr>
  </w:style>
  <w:style w:type="character" w:customStyle="1" w:styleId="SpecialCharTok">
    <w:name w:val="SpecialCharTok"/>
    <w:basedOn w:val="VerbatimChar"/>
    <w:rPr>
      <w:rFonts w:ascii="Times New Roman" w:hAnsi="Times New Roman" w:eastAsia="Times New Roman" w:cs="Times New Roman"/>
      <w:color w:val="4070a0"/>
    </w:rPr>
  </w:style>
  <w:style w:type="character" w:customStyle="1" w:styleId="StringTok">
    <w:name w:val="StringTok"/>
    <w:basedOn w:val="VerbatimChar"/>
    <w:rPr>
      <w:rFonts w:ascii="Times New Roman" w:hAnsi="Times New Roman" w:eastAsia="Times New Roman" w:cs="Times New Roman"/>
      <w:color w:val="4070a0"/>
    </w:rPr>
  </w:style>
  <w:style w:type="character" w:customStyle="1" w:styleId="VerbatimStringTok">
    <w:name w:val="VerbatimStringTok"/>
    <w:basedOn w:val="VerbatimChar"/>
    <w:rPr>
      <w:rFonts w:ascii="Times New Roman" w:hAnsi="Times New Roman" w:eastAsia="Times New Roman" w:cs="Times New Roman"/>
      <w:color w:val="4070a0"/>
    </w:rPr>
  </w:style>
  <w:style w:type="character" w:customStyle="1" w:styleId="SpecialStringTok">
    <w:name w:val="SpecialStringTok"/>
    <w:basedOn w:val="VerbatimChar"/>
    <w:rPr>
      <w:rFonts w:ascii="Times New Roman" w:hAnsi="Times New Roman" w:eastAsia="Times New Roman" w:cs="Times New Roman"/>
      <w:color w:val="bb6688"/>
    </w:rPr>
  </w:style>
  <w:style w:type="character" w:customStyle="1" w:styleId="ImportTok">
    <w:name w:val="ImportTok"/>
    <w:basedOn w:val="VerbatimChar"/>
    <w:rPr>
      <w:color w:val="008000"/>
      <w:rFonts w:ascii="Times New Roman" w:hAnsi="Times New Roman" w:eastAsia="Times New Roman" w:cs="Times New Roman"/>
      <w:b/>
    </w:rPr>
  </w:style>
  <w:style w:type="character" w:customStyle="1" w:styleId="CommentTok">
    <w:name w:val="CommentTok"/>
    <w:basedOn w:val="VerbatimChar"/>
    <w:rPr>
      <w:color w:val="60a0b0"/>
      <w:rFonts w:ascii="Times New Roman" w:hAnsi="Times New Roman" w:eastAsia="Times New Roman" w:cs="Times New Roman"/>
      <w:i/>
    </w:rPr>
  </w:style>
  <w:style w:type="character" w:customStyle="1" w:styleId="DocumentationTok">
    <w:name w:val="DocumentationTok"/>
    <w:basedOn w:val="VerbatimChar"/>
    <w:rPr>
      <w:color w:val="ba2121"/>
      <w:rFonts w:ascii="Times New Roman" w:hAnsi="Times New Roman" w:eastAsia="Times New Roman" w:cs="Times New Roman"/>
      <w:i/>
    </w:rPr>
  </w:style>
  <w:style w:type="character" w:customStyle="1" w:styleId="AnnotationTok">
    <w:name w:val="AnnotationTok"/>
    <w:basedOn w:val="VerbatimChar"/>
    <w:rPr>
      <w:color w:val="60a0b0"/>
      <w:rFonts w:ascii="Times New Roman" w:hAnsi="Times New Roman" w:eastAsia="Times New Roman" w:cs="Times New Roman"/>
      <w:b/>
      <w:i/>
    </w:rPr>
  </w:style>
  <w:style w:type="character" w:customStyle="1" w:styleId="CommentVarTok">
    <w:name w:val="CommentVarTok"/>
    <w:basedOn w:val="VerbatimChar"/>
    <w:rPr>
      <w:color w:val="60a0b0"/>
      <w:rFonts w:ascii="Times New Roman" w:hAnsi="Times New Roman" w:eastAsia="Times New Roman" w:cs="Times New Roman"/>
      <w:b/>
      <w:i/>
    </w:rPr>
  </w:style>
  <w:style w:type="character" w:customStyle="1" w:styleId="OtherTok">
    <w:name w:val="OtherTok"/>
    <w:basedOn w:val="VerbatimChar"/>
    <w:rPr>
      <w:rFonts w:ascii="Times New Roman" w:hAnsi="Times New Roman" w:eastAsia="Times New Roman" w:cs="Times New Roman"/>
      <w:color w:val="007020"/>
    </w:rPr>
  </w:style>
  <w:style w:type="character" w:customStyle="1" w:styleId="FunctionTok">
    <w:name w:val="FunctionTok"/>
    <w:basedOn w:val="VerbatimChar"/>
    <w:rPr>
      <w:rFonts w:ascii="Times New Roman" w:hAnsi="Times New Roman" w:eastAsia="Times New Roman" w:cs="Times New Roman"/>
      <w:color w:val="06287e"/>
    </w:rPr>
  </w:style>
  <w:style w:type="character" w:customStyle="1" w:styleId="VariableTok">
    <w:name w:val="VariableTok"/>
    <w:basedOn w:val="VerbatimChar"/>
    <w:rPr>
      <w:rFonts w:ascii="Times New Roman" w:hAnsi="Times New Roman" w:eastAsia="Times New Roman" w:cs="Times New Roman"/>
      <w:color w:val="19177c"/>
    </w:rPr>
  </w:style>
  <w:style w:type="character" w:customStyle="1" w:styleId="ControlFlowTok">
    <w:name w:val="ControlFlowTok"/>
    <w:basedOn w:val="VerbatimChar"/>
    <w:rPr>
      <w:color w:val="007020"/>
      <w:rFonts w:ascii="Times New Roman" w:hAnsi="Times New Roman" w:eastAsia="Times New Roman" w:cs="Times New Roman"/>
      <w:b/>
    </w:rPr>
  </w:style>
  <w:style w:type="character" w:customStyle="1" w:styleId="OperatorTok">
    <w:name w:val="OperatorTok"/>
    <w:basedOn w:val="VerbatimChar"/>
    <w:rPr>
      <w:rFonts w:ascii="Times New Roman" w:hAnsi="Times New Roman" w:eastAsia="Times New Roman" w:cs="Times New Roman"/>
      <w:color w:val="666666"/>
    </w:rPr>
  </w:style>
  <w:style w:type="character" w:customStyle="1" w:styleId="BuiltInTok">
    <w:name w:val="BuiltInTok"/>
    <w:basedOn w:val="VerbatimChar"/>
    <w:rPr>
      <w:rFonts w:ascii="Times New Roman" w:hAnsi="Times New Roman" w:eastAsia="Times New Roman" w:cs="Times New Roman"/>
      <w:color w:val="008000"/>
    </w:rPr>
  </w:style>
  <w:style w:type="character" w:customStyle="1" w:styleId="ExtensionTok">
    <w:name w:val="ExtensionTok"/>
    <w:basedOn w:val="VerbatimChar"/>
    <w:rPr>
      <w:rFonts w:ascii="Times New Roman" w:hAnsi="Times New Roman" w:eastAsia="Times New Roman" w:cs="Times New Roman"/>
    </w:rPr>
  </w:style>
  <w:style w:type="character" w:customStyle="1" w:styleId="PreprocessorTok">
    <w:name w:val="PreprocessorTok"/>
    <w:basedOn w:val="VerbatimChar"/>
    <w:rPr>
      <w:rFonts w:ascii="Times New Roman" w:hAnsi="Times New Roman" w:eastAsia="Times New Roman" w:cs="Times New Roman"/>
      <w:color w:val="bc7a00"/>
    </w:rPr>
  </w:style>
  <w:style w:type="character" w:customStyle="1" w:styleId="AttributeTok">
    <w:name w:val="AttributeTok"/>
    <w:basedOn w:val="VerbatimChar"/>
    <w:rPr>
      <w:rFonts w:ascii="Times New Roman" w:hAnsi="Times New Roman" w:eastAsia="Times New Roman" w:cs="Times New Roman"/>
      <w:color w:val="7d9029"/>
    </w:rPr>
  </w:style>
  <w:style w:type="character" w:customStyle="1" w:styleId="RegionMarkerTok">
    <w:name w:val="RegionMarkerTok"/>
    <w:basedOn w:val="VerbatimChar"/>
    <w:rPr>
      <w:rFonts w:ascii="Times New Roman" w:hAnsi="Times New Roman" w:eastAsia="Times New Roman" w:cs="Times New Roman"/>
    </w:rPr>
  </w:style>
  <w:style w:type="character" w:customStyle="1" w:styleId="InformationTok">
    <w:name w:val="InformationTok"/>
    <w:basedOn w:val="VerbatimChar"/>
    <w:rPr>
      <w:color w:val="60a0b0"/>
      <w:rFonts w:ascii="Times New Roman" w:hAnsi="Times New Roman" w:eastAsia="Times New Roman" w:cs="Times New Roman"/>
      <w:b/>
      <w:i/>
    </w:rPr>
  </w:style>
  <w:style w:type="character" w:customStyle="1" w:styleId="WarningTok">
    <w:name w:val="WarningTok"/>
    <w:basedOn w:val="VerbatimChar"/>
    <w:rPr>
      <w:color w:val="60a0b0"/>
      <w:rFonts w:ascii="Times New Roman" w:hAnsi="Times New Roman" w:eastAsia="Times New Roman" w:cs="Times New Roman"/>
      <w:b/>
      <w:i/>
    </w:rPr>
  </w:style>
  <w:style w:type="character" w:customStyle="1" w:styleId="AlertTok">
    <w:name w:val="AlertTok"/>
    <w:basedOn w:val="VerbatimChar"/>
    <w:rPr>
      <w:color w:val="ff0000"/>
      <w:rFonts w:ascii="Times New Roman" w:hAnsi="Times New Roman" w:eastAsia="Times New Roman" w:cs="Times New Roman"/>
      <w:b/>
    </w:rPr>
  </w:style>
  <w:style w:type="character" w:customStyle="1" w:styleId="ErrorTok">
    <w:name w:val="ErrorTok"/>
    <w:basedOn w:val="VerbatimChar"/>
    <w:rPr>
      <w:color w:val="ff0000"/>
      <w:rFonts w:ascii="Times New Roman" w:hAnsi="Times New Roman" w:eastAsia="Times New Roman" w:cs="Times New Roman"/>
      <w:b/>
    </w:rPr>
  </w:style>
  <w:style w:type="character" w:customStyle="1" w:styleId="NormalTok">
    <w:name w:val="NormalTok"/>
    <w:basedOn w:val="VerbatimChar"/>
    <w:rPr>
      <w:rFonts w:ascii="Times New Roman" w:hAnsi="Times New Roman" w:eastAsia="Times New Roman" w:cs="Times New Roman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2026-09-11T09:55:23Z</dcterms:created>
  <dcterms:modified xsi:type="dcterms:W3CDTF">2026-09-11T09:55:23Z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