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тарифы"/>
    <w:p>
      <w:pPr>
        <w:pStyle w:val="Heading1"/>
        <w:keepNext/>
        <w:spacing w:before="200" w:after="120"/>
        <w:jc w:val="center"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Тарифы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Версия 1.0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Дата вступления в силу: 02.09.2026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>Утверждены приказом Директора ТОО «Ausu» от 02.09.2026 № 7 вместе с Политикой курсообразования (fees-v9).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Этот документ является частью Публичной оферты ТОО «Ausu». Он описывает, как рассчитывается курс активов к тенге и какие расходы несут стороны. Перечень активов, доступных для операций, показывается на сайте ausu.kz и в кабинете.</w:t>
      </w:r>
    </w:p>
    <w:bookmarkStart w:id="20" w:name="референсный-курс-usdt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1. Референсный курс USDT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1.1. Референсный курс (референс) равен средневзвешенной цене торговой сессии по инструменту USDKZT_TOM на Казахстанской фондовой бирже (KASE). Это значение поля «Курс» на сайте KASE по строке с фактическими сделками. Цена последней сделки не используется.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1.2. Референс обновляется автоматически в течение торгового дня. Значение референса, его источник и время получения сохраняются в заявке.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1.3. Если текущие данные KASE недоступны, применяется итог последней торговой сессии KASE. Он действует не больше 4 календарных дней. Если и он недоступен, применяется официальный курс Национального Банка Республики Казахстан. Он действует не больше 36 часов.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1.4. Текущее значение KASE сверяется с контрольным значением. Контрольное значение: итог последней торговой сессии KASE. Если его нет, контрольное значение: официальный курс Национального Банка. Допустимое расхождение: 2 %. Если расхождение больше, мы применяем последнее известное значение референса до восстановления данных. Приём заявок при этом не останавливается.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1.5. Референсный курс других активов, доступных в кабинете, определяется по данным международных торговых площадок в пересчёте на тенге в порядке, установленном Политикой курсообразования Компании. Источник референса и курс показываются в кабинете до создания заявки. Значение референса, его источник и время получения сохраняются в заявке.</w:t>
      </w:r>
    </w:p>
    <w:bookmarkEnd w:id="20"/>
    <w:bookmarkStart w:id="21" w:name="курс-заявки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2. Курс заявки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Правила пунктов 2.1, 2.2 и 2.3 применяются ко всем активам. Сетка спредов в пункте 2.4 применяется к USDT. Спред для других активов установлен пунктом 2.7.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2.1. Курс покупки (вы покупаете актив у нас) равен референсу, умноженному на (1 плюс спред).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2.2. Курс продажи (вы продаёте актив нам) равен референсу, умноженному на (1 минус спред).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2.3. Курс округляется в вашу пользу: курс покупки в меньшую сторону, курс продажи в большую сторону. Для USDT округление до 0,1 тенге. Для других активов точность округления курса показывается в кабинете. Сумма в тенге округляется до 1 тенге, сумма в активе до точности, показанной в кабинете (для USDT до 0,01 USDT).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2.4. Размер спреда для USDT зависит от суммы одной заявки: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spacing w:after="20"/>
              <w:jc w:val="lef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19"/>
              </w:rPr>
              <w:t xml:space="preserve">Сумма заявки</w:t>
            </w:r>
          </w:p>
        </w:tc>
        <w:tc>
          <w:tcPr/>
          <w:p>
            <w:pPr>
              <w:pStyle w:val="Compact"/>
              <w:spacing w:after="20"/>
              <w:jc w:val="lef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19"/>
              </w:rPr>
              <w:t xml:space="preserve">Покупка USDT (спред)</w:t>
            </w:r>
          </w:p>
        </w:tc>
        <w:tc>
          <w:tcPr/>
          <w:p>
            <w:pPr>
              <w:pStyle w:val="Compact"/>
              <w:spacing w:after="20"/>
              <w:jc w:val="lef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19"/>
              </w:rPr>
              <w:t xml:space="preserve">Продажа USDT (спред)</w:t>
            </w:r>
          </w:p>
        </w:tc>
      </w:tr>
      <w:tr>
        <w:tc>
          <w:tcPr/>
          <w:p>
            <w:pPr>
              <w:pStyle w:val="Compact"/>
              <w:spacing w:after="20"/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до 1 000 USDT включительно</w:t>
            </w:r>
          </w:p>
        </w:tc>
        <w:tc>
          <w:tcPr/>
          <w:p>
            <w:pPr>
              <w:pStyle w:val="Compact"/>
              <w:spacing w:after="20"/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плюс 7 %</w:t>
            </w:r>
          </w:p>
        </w:tc>
        <w:tc>
          <w:tcPr/>
          <w:p>
            <w:pPr>
              <w:pStyle w:val="Compact"/>
              <w:spacing w:after="20"/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минус 7 %</w:t>
            </w:r>
          </w:p>
        </w:tc>
      </w:tr>
      <w:tr>
        <w:tc>
          <w:tcPr/>
          <w:p>
            <w:pPr>
              <w:pStyle w:val="Compact"/>
              <w:spacing w:after="20"/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свыше 1 000 USDT и до 1 000 000 тенге</w:t>
            </w:r>
          </w:p>
        </w:tc>
        <w:tc>
          <w:tcPr/>
          <w:p>
            <w:pPr>
              <w:pStyle w:val="Compact"/>
              <w:spacing w:after="20"/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плюс 5 %</w:t>
            </w:r>
          </w:p>
        </w:tc>
        <w:tc>
          <w:tcPr/>
          <w:p>
            <w:pPr>
              <w:pStyle w:val="Compact"/>
              <w:spacing w:after="20"/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минус 4,5 %</w:t>
            </w:r>
          </w:p>
        </w:tc>
      </w:tr>
      <w:tr>
        <w:tc>
          <w:tcPr/>
          <w:p>
            <w:pPr>
              <w:pStyle w:val="Compact"/>
              <w:spacing w:after="20"/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от 1 000 000 до 5 000 000 тенге</w:t>
            </w:r>
          </w:p>
        </w:tc>
        <w:tc>
          <w:tcPr/>
          <w:p>
            <w:pPr>
              <w:pStyle w:val="Compact"/>
              <w:spacing w:after="20"/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плюс 3,5 %</w:t>
            </w:r>
          </w:p>
        </w:tc>
        <w:tc>
          <w:tcPr/>
          <w:p>
            <w:pPr>
              <w:pStyle w:val="Compact"/>
              <w:spacing w:after="20"/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минус 2,5 %</w:t>
            </w:r>
          </w:p>
        </w:tc>
      </w:tr>
      <w:tr>
        <w:tc>
          <w:tcPr/>
          <w:p>
            <w:pPr>
              <w:pStyle w:val="Compact"/>
              <w:spacing w:after="20"/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от 5 000 000 до 10 000 000 тенге</w:t>
            </w:r>
          </w:p>
        </w:tc>
        <w:tc>
          <w:tcPr/>
          <w:p>
            <w:pPr>
              <w:pStyle w:val="Compact"/>
              <w:spacing w:after="20"/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плюс 2,8 %</w:t>
            </w:r>
          </w:p>
        </w:tc>
        <w:tc>
          <w:tcPr/>
          <w:p>
            <w:pPr>
              <w:pStyle w:val="Compact"/>
              <w:spacing w:after="20"/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минус 2 %</w:t>
            </w:r>
          </w:p>
        </w:tc>
      </w:tr>
      <w:tr>
        <w:tc>
          <w:tcPr/>
          <w:p>
            <w:pPr>
              <w:pStyle w:val="Compact"/>
              <w:spacing w:after="20"/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от 10 000 000 до 22 000 000 тенге</w:t>
            </w:r>
          </w:p>
        </w:tc>
        <w:tc>
          <w:tcPr/>
          <w:p>
            <w:pPr>
              <w:pStyle w:val="Compact"/>
              <w:spacing w:after="20"/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плюс 2,5 %</w:t>
            </w:r>
          </w:p>
        </w:tc>
        <w:tc>
          <w:tcPr/>
          <w:p>
            <w:pPr>
              <w:pStyle w:val="Compact"/>
              <w:spacing w:after="20"/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минус 2 %</w:t>
            </w:r>
          </w:p>
        </w:tc>
      </w:tr>
      <w:tr>
        <w:tc>
          <w:tcPr/>
          <w:p>
            <w:pPr>
              <w:pStyle w:val="Compact"/>
              <w:spacing w:after="20"/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от 22 000 000 до 40 000 000 тенге</w:t>
            </w:r>
          </w:p>
        </w:tc>
        <w:tc>
          <w:tcPr/>
          <w:p>
            <w:pPr>
              <w:pStyle w:val="Compact"/>
              <w:spacing w:after="20"/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плюс 2,5 %</w:t>
            </w:r>
          </w:p>
        </w:tc>
        <w:tc>
          <w:tcPr/>
          <w:p>
            <w:pPr>
              <w:pStyle w:val="Compact"/>
              <w:spacing w:after="20"/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минус 1,5 %</w:t>
            </w:r>
          </w:p>
        </w:tc>
      </w:tr>
      <w:tr>
        <w:tc>
          <w:tcPr/>
          <w:p>
            <w:pPr>
              <w:pStyle w:val="Compact"/>
              <w:spacing w:after="20"/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от 40 000 000 тенге</w:t>
            </w:r>
          </w:p>
        </w:tc>
        <w:tc>
          <w:tcPr/>
          <w:p>
            <w:pPr>
              <w:pStyle w:val="Compact"/>
              <w:spacing w:after="20"/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плюс 2,3 %</w:t>
            </w:r>
          </w:p>
        </w:tc>
        <w:tc>
          <w:tcPr/>
          <w:p>
            <w:pPr>
              <w:pStyle w:val="Compact"/>
              <w:spacing w:after="20"/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минус 1,5 %</w:t>
            </w:r>
          </w:p>
        </w:tc>
      </w:tr>
    </w:tbl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2.5. Ступень определяется по сумме одной заявки. При покупке это сумма в тенге, которую вы платите. При продаже это количество USDT, умноженное на референс. Сумма в USDT пересчитывается в тенге по референсу. Нижняя граница ступени входит в ступень, верхняя не входит. Несколько заявок не суммируются.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2.6. Курс USDT на сайте и в кабинете без указания суммы показывается для ступени «свыше 1 000 USDT и до 1 000 000 тенге»: плюс 5 % при покупке и минус 4,5 % при продаже. Точный курс вашей заявки показывается при её расчёте.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2.7. Спред для других активов устанавливается Политикой курсообразования Компании и показывается в кабинете до создания заявки вместе с итоговым курсом покупки и продажи. Курс других активов на сайте и в кабинете без указания суммы показывается для базовой ступени, указанной в кабинете.</w:t>
      </w:r>
    </w:p>
    <w:bookmarkEnd w:id="21"/>
    <w:bookmarkStart w:id="22" w:name="пример-расчёта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3. Пример расчёта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3.1. Референс: 450,30 тенге за 1 USDT.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3.2. Вы покупаете USDT на 500 000 тенге. Спред плюс 5 %. Курс: 450,30 × 1,05 = 472,815, после округления 472,8. Вы получите 500 000 / 472,8 = 1 057,53 USDT.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3.3. Вы продаёте 4 500 USDT. Сумма заявки: 4 500 × 450,30 = 2 026 350 тенге, ступень «от 1 000 000 до 5 000 000 тенге». Спред минус 2,5 %. Курс: 450,30 × 0,975 = 439,0425, после округления 439,1. Вы получите 4 500 × 439,1 = 1 975 950 тенге.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3.4. Цифры в примере условные. Реальный курс показывается в кабинете при расчёте заявки.</w:t>
      </w:r>
    </w:p>
    <w:bookmarkEnd w:id="22"/>
    <w:bookmarkStart w:id="23" w:name="фиксация-курса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4. Фиксация курса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4.1. Курс фиксируется в момент создания заявки и указывается в самой заявке.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4.2. Курс действует в течение срока оплаты, указанного в заявке. Если оплата или актив поступили позже, заявка отменяется. Новая заявка рассчитывается по текущему курсу.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4.3. Мы не меняем курс исполняемой заявки, даже если рынок изменился после её расчёта.</w:t>
      </w:r>
    </w:p>
    <w:bookmarkEnd w:id="23"/>
    <w:bookmarkStart w:id="24" w:name="других-комиссий-нет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5. Других комиссий нет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5.1. Спред к референсу является единственным вознаграждением Компании по всем активам.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5.2. Мы не берём плату за регистрацию, идентификацию, ведение кабинета, создание заявки, выплату на счёт или карту, приём наличных в кассе и выдачу документов об операции.</w:t>
      </w:r>
    </w:p>
    <w:bookmarkEnd w:id="24"/>
    <w:bookmarkStart w:id="25" w:name="банковские-и-сетевые-комиссии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6. Банковские и сетевые комиссии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6.1. Комиссию своего банка за перевод денег нам или за зачисление выплаты на ваш счёт или карту оплачиваете вы, если ваш банк её берёт.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6.2. Комиссию нашего банка за выплату вам оплачиваем мы.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6.3. Комиссию сети блокчейн за отправку актива вам оплачиваем мы.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6.4. Комиссию сети блокчейн за отправку актива нам оплачиваете вы. Её берёт сеть, мы её не получаем.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6.5. Приём наличных в кассе бесплатный.</w:t>
      </w:r>
    </w:p>
    <w:bookmarkEnd w:id="25"/>
    <w:bookmarkStart w:id="26" w:name="возврат-платежей-третьих-лиц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7. Возврат платежей третьих лиц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7.1. Деньги, поступившие от третьего лица, не принимаются в оплату заявки и возвращаются отправителю на тот же счёт или карту.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7.2. Из возвращаемой суммы мы удерживаем фактические расходы банка на возврат. Сумма расходов указывается в уведомлении о возврате.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7.3. Срок возврата: 5 рабочих дней с момента поступления денег, если у нас есть данные для возврата.</w:t>
      </w:r>
    </w:p>
    <w:bookmarkEnd w:id="26"/>
    <w:bookmarkStart w:id="27" w:name="лимиты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8. Лимиты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8.1. Для клиентов, не прошедших тест на знание цифровых активов, действует лимит: покупка до 7 000 000 тенге в сутки и продажа до 7 000 000 тенге в сутки. Сутки считаются по времени Астаны. Лимит установлен пунктом 56 Правил деятельности операторов обмена необеспеченных цифровых активов (постановление Правления Национального Банка от 29.04.2026 № 45).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8.2. Сумма одной заявки: от 25 000 до 500 000 000 тенге. Заявки вне этих пределов кабинет не принимает.</w:t>
      </w:r>
    </w:p>
    <w:bookmarkEnd w:id="27"/>
    <w:bookmarkStart w:id="28" w:name="изменение-тарифов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9. Изменение тарифов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9.1. Мы вправе менять тарифы. Новая версия публикуется на сайте ausu.kz в разделе /legal/ и в кабинете.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9.2. Об изменении тарифов мы уведомляем в кабинете и по электронной почте не позднее чем за 14 календарных дней до вступления новой версии в силу. Новые тарифы применяются к заявкам, созданным после вступления новой версии в силу. Заявки, созданные раньше, исполняются по прежним условиям.</w:t>
      </w:r>
    </w:p>
    <w:p>
      <w:pPr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pict>
          <v:rect style="width:0;height:1.5pt" o:hralign="center" o:hrstd="t" o:hr="t"/>
        </w:pict>
      </w:r>
    </w:p>
    <w:p>
      <w:pPr>
        <w:pStyle w:val="FirstParagraph"/>
        <w:spacing w:after="80"/>
        <w:jc w:val="both"/>
      </w:pPr>
      <w:r>
        <w:rPr>
          <w:bCs/>
          <w:rFonts w:ascii="Times New Roman" w:hAnsi="Times New Roman" w:eastAsia="Times New Roman" w:cs="Times New Roman"/>
          <w:b/>
          <w:color w:val="000000"/>
          <w:sz w:val="22"/>
        </w:rPr>
        <w:t xml:space="preserve">Реквизиты Компании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Товарищество с ограниченной ответственностью «Ausu» (бренд AUSU)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БИН 260540022655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Лицензия Национального Банка Республики Казахстан № 1726001О от 30.07.2026 на обмен необеспеченных цифровых активов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Юридический адрес: Республика Казахстан, 160000, г. Шымкент, Аль-Фарабийский район, ул. Бекет Батыр, 127А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Офис и касса: г. Шымкент, ул. Аймаутова, 99/1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Телефон: +7 706 668 68 60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E-mail: info@ausu.kz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Сайт и кабинет: ausu.kz. Telegram-бот для клиентов: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@ausu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_kzbot</w:t>
      </w:r>
    </w:p>
    <w:bookmarkEnd w:id="28"/>
    <w:bookmarkEnd w:id="29"/>
    <w:sectPr>
      <w:pgMar w:left="1417" w:right="850" w:top="1134" w:bottom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link w:val="BodyTextChar"/>
    <w:pPr>
      <w:spacing w:after="180" w:before="180"/>
    </w:pPr>
    <w:qFormat/>
    <w:rPr>
      <w:rFonts w:ascii="Times New Roman" w:hAnsi="Times New Roman" w:eastAsia="Times New Roman" w:cs="Times New Roman"/>
    </w:rPr>
  </w:style>
  <w:style w:customStyle="1" w:styleId="FirstParagraph" w:type="paragraph">
    <w:name w:val="First Paragraph"/>
    <w:basedOn w:val="BodyText"/>
    <w:next w:val="BodyText"/>
    <w:qFormat/>
    <w:rPr>
      <w:rFonts w:ascii="Times New Roman" w:hAnsi="Times New Roman" w:eastAsia="Times New Roman" w:cs="Times New Roman"/>
    </w:rPr>
  </w:style>
  <w:style w:customStyle="1" w:styleId="Compact" w:type="paragraph">
    <w:name w:val="Compact"/>
    <w:basedOn w:val="BodyText"/>
    <w:qFormat/>
    <w:pPr>
      <w:spacing w:after="36" w:before="36"/>
    </w:pPr>
    <w:rPr>
      <w:rFonts w:ascii="Times New Roman" w:hAnsi="Times New Roman" w:eastAsia="Times New Roman" w:cs="Times New Roman"/>
    </w:r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 w:ascii="Times New Roman" w:hAnsi="Times New Roman" w:eastAsia="Times New Roman" w:cs="Times New Roman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rFonts w:ascii="Times New Roman" w:hAnsi="Times New Roman" w:eastAsia="Times New Roman" w:cs="Times New Roman"/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  <w:rPr>
      <w:rFonts w:ascii="Times New Roman" w:hAnsi="Times New Roman" w:eastAsia="Times New Roman" w:cs="Times New Roman"/>
    </w:rPr>
  </w:style>
  <w:style w:styleId="Date" w:type="paragraph">
    <w:name w:val="Date"/>
    <w:next w:val="BodyText"/>
    <w:qFormat/>
    <w:pPr>
      <w:keepNext/>
      <w:keepLines/>
      <w:jc w:val="center"/>
    </w:pPr>
    <w:rPr>
      <w:rFonts w:ascii="Times New Roman" w:hAnsi="Times New Roman" w:eastAsia="Times New Roman" w:cs="Times New Roman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rFonts w:ascii="Times New Roman" w:hAnsi="Times New Roman" w:eastAsia="Times New Roman" w:cs="Times New Roman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rFonts w:ascii="Times New Roman" w:hAnsi="Times New Roman" w:eastAsia="Times New Roman" w:cs="Times New Roman"/>
      <w:sz w:val="20"/>
      <w:szCs w:val="20"/>
    </w:rPr>
  </w:style>
  <w:style w:styleId="Bibliography" w:type="paragraph">
    <w:name w:val="Bibliography"/>
    <w:basedOn w:val="Normal"/>
    <w:next w:val="Bibliography"/>
    <w:qFormat/>
    <w:pPr/>
    <w:rPr>
      <w:rFonts w:ascii="Times New Roman" w:hAnsi="Times New Roman" w:eastAsia="Times New Roman" w:cs="Times New Roman"/>
    </w:rPr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 w:ascii="Times New Roman" w:hAnsi="Times New Roman" w:eastAsia="Times New Roman" w:cs="Times New Roman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 w:ascii="Times New Roman" w:hAnsi="Times New Roman" w:eastAsia="Times New Roman" w:cs="Times New Roman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 w:ascii="Times New Roman" w:hAnsi="Times New Roman" w:eastAsia="Times New Roman" w:cs="Times New Roman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 w:ascii="Times New Roman" w:hAnsi="Times New Roman" w:eastAsia="Times New Roman" w:cs="Times New Roman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 w:ascii="Times New Roman" w:hAnsi="Times New Roman" w:eastAsia="Times New Roman" w:cs="Times New Roman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 w:ascii="Times New Roman" w:hAnsi="Times New Roman" w:eastAsia="Times New Roman" w:cs="Times New Roman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 w:ascii="Times New Roman" w:hAnsi="Times New Roman" w:eastAsia="Times New Roman" w:cs="Times New Roman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 w:ascii="Times New Roman" w:hAnsi="Times New Roman" w:eastAsia="Times New Roman" w:cs="Times New Roman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 w:ascii="Times New Roman" w:hAnsi="Times New Roman" w:eastAsia="Times New Roman" w:cs="Times New Roman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  <w:rPr>
      <w:rFonts w:ascii="Times New Roman" w:hAnsi="Times New Roman" w:eastAsia="Times New Roman" w:cs="Times New Roman"/>
    </w:rPr>
  </w:style>
  <w:style w:styleId="FootnoteText" w:type="paragraph">
    <w:name w:val="Footnote Text"/>
    <w:basedOn w:val="Normal"/>
    <w:next w:val="FootnoteText"/>
    <w:uiPriority w:val="9"/>
    <w:unhideWhenUsed/>
    <w:qFormat/>
    <w:rPr>
      <w:rFonts w:ascii="Times New Roman" w:hAnsi="Times New Roman" w:eastAsia="Times New Roman" w:cs="Times New Roman"/>
    </w:rPr>
  </w:style>
  <w:style w:default="1" w:styleId="DefaultParagraphFont" w:type="character">
    <w:name w:val="Default Paragraph Font"/>
    <w:semiHidden/>
    <w:unhideWhenUsed/>
    <w:rPr>
      <w:rFonts w:ascii="Times New Roman" w:hAnsi="Times New Roman" w:eastAsia="Times New Roman" w:cs="Times New Roman"/>
    </w:rPr>
  </w:style>
  <w:style w:default="1" w:styleId="Table" w:type="table">
    <w:name w:val="Table"/>
    <w:basedOn w:val="TableNormal"/>
    <w:semiHidden/>
    <w:unhideWhenUsed/>
    <w:qFormat/>
    <w:rPr>
      <w:rFonts w:ascii="Times New Roman" w:hAnsi="Times New Roman" w:eastAsia="Times New Roman" w:cs="Times New Roman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rFonts w:ascii="Times New Roman" w:hAnsi="Times New Roman" w:eastAsia="Times New Roman" w:cs="Times New Roman"/>
      <w:b/>
    </w:rPr>
  </w:style>
  <w:style w:customStyle="1" w:styleId="Definition" w:type="paragraph">
    <w:name w:val="Definition"/>
    <w:basedOn w:val="Normal"/>
    <w:rPr>
      <w:rFonts w:ascii="Times New Roman" w:hAnsi="Times New Roman" w:eastAsia="Times New Roman" w:cs="Times New Roman"/>
    </w:rPr>
  </w:style>
  <w:style w:styleId="Caption" w:type="paragraph">
    <w:name w:val="Caption"/>
    <w:basedOn w:val="Normal"/>
    <w:link w:val="BodyTextChar"/>
    <w:pPr>
      <w:spacing w:after="120" w:before="0"/>
    </w:pPr>
    <w:rPr>
      <w:rFonts w:ascii="Times New Roman" w:hAnsi="Times New Roman" w:eastAsia="Times New Roman" w:cs="Times New Roman"/>
      <w:i/>
    </w:rPr>
  </w:style>
  <w:style w:customStyle="1" w:styleId="TableCaption" w:type="paragraph">
    <w:name w:val="Table Caption"/>
    <w:basedOn w:val="Caption"/>
    <w:pPr>
      <w:keepNext/>
    </w:pPr>
    <w:rPr>
      <w:rFonts w:ascii="Times New Roman" w:hAnsi="Times New Roman" w:eastAsia="Times New Roman" w:cs="Times New Roman"/>
    </w:rPr>
  </w:style>
  <w:style w:customStyle="1" w:styleId="ImageCaption" w:type="paragraph">
    <w:name w:val="Image Caption"/>
    <w:basedOn w:val="Caption"/>
    <w:rPr>
      <w:rFonts w:ascii="Times New Roman" w:hAnsi="Times New Roman" w:eastAsia="Times New Roman" w:cs="Times New Roman"/>
    </w:rPr>
  </w:style>
  <w:style w:customStyle="1" w:styleId="Figure" w:type="paragraph">
    <w:name w:val="Figure"/>
    <w:basedOn w:val="Normal"/>
    <w:rPr>
      <w:rFonts w:ascii="Times New Roman" w:hAnsi="Times New Roman" w:eastAsia="Times New Roman" w:cs="Times New Roman"/>
    </w:rPr>
  </w:style>
  <w:style w:customStyle="1" w:styleId="CaptionedFigure" w:type="paragraph">
    <w:name w:val="Captioned Figure"/>
    <w:basedOn w:val="Figure"/>
    <w:pPr>
      <w:keepNext/>
    </w:pPr>
    <w:rPr>
      <w:rFonts w:ascii="Times New Roman" w:hAnsi="Times New Roman" w:eastAsia="Times New Roman" w:cs="Times New Roman"/>
    </w:rPr>
  </w:style>
  <w:style w:customStyle="1" w:styleId="BodyTextChar" w:type="character">
    <w:name w:val="Body Text Char"/>
    <w:basedOn w:val="DefaultParagraphFont"/>
    <w:link w:val="BodyText"/>
    <w:rPr>
      <w:rFonts w:ascii="Times New Roman" w:hAnsi="Times New Roman" w:eastAsia="Times New Roman" w:cs="Times New Roman"/>
    </w:rPr>
  </w:style>
  <w:style w:customStyle="1" w:styleId="VerbatimChar" w:type="character">
    <w:name w:val="Verbatim Char"/>
    <w:basedOn w:val="BodyTextChar"/>
    <w:rPr>
      <w:rFonts w:ascii="Times New Roman" w:hAnsi="Times New Roman" w:eastAsia="Times New Roman" w:cs="Times New Roman"/>
      <w:sz w:val="22"/>
    </w:rPr>
  </w:style>
  <w:style w:customStyle="1" w:styleId="SectionNumber" w:type="character">
    <w:name w:val="Section Number"/>
    <w:basedOn w:val="BodyTextChar"/>
    <w:rPr>
      <w:rFonts w:ascii="Times New Roman" w:hAnsi="Times New Roman" w:eastAsia="Times New Roman" w:cs="Times New Roman"/>
    </w:rPr>
  </w:style>
  <w:style w:styleId="FootnoteReference" w:type="character">
    <w:name w:val="Footnote Reference"/>
    <w:basedOn w:val="BodyTextChar"/>
    <w:rPr>
      <w:rFonts w:ascii="Times New Roman" w:hAnsi="Times New Roman" w:eastAsia="Times New Roman" w:cs="Times New Roman"/>
      <w:vertAlign w:val="superscript"/>
    </w:rPr>
  </w:style>
  <w:style w:styleId="Hyperlink" w:type="character">
    <w:name w:val="Hyperlink"/>
    <w:basedOn w:val="BodyTextChar"/>
    <w:rPr>
      <w:rFonts w:ascii="Times New Roman" w:hAnsi="Times New Roman" w:eastAsia="Times New Roman" w:cs="Times New Roman"/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 w:ascii="Times New Roman" w:hAnsi="Times New Roman" w:eastAsia="Times New Roman" w:cs="Times New Roman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  <w:rPr>
      <w:rFonts w:ascii="Times New Roman" w:hAnsi="Times New Roman" w:eastAsia="Times New Roman" w:cs="Times New Roman"/>
    </w:rPr>
  </w:style>
  <w:style w:type="character" w:customStyle="1" w:styleId="KeywordTok">
    <w:name w:val="KeywordTok"/>
    <w:basedOn w:val="VerbatimChar"/>
    <w:rPr>
      <w:color w:val="007020"/>
      <w:rFonts w:ascii="Times New Roman" w:hAnsi="Times New Roman" w:eastAsia="Times New Roman" w:cs="Times New Roman"/>
      <w:b/>
    </w:rPr>
  </w:style>
  <w:style w:type="character" w:customStyle="1" w:styleId="DataTypeTok">
    <w:name w:val="DataTypeTok"/>
    <w:basedOn w:val="VerbatimChar"/>
    <w:rPr>
      <w:rFonts w:ascii="Times New Roman" w:hAnsi="Times New Roman" w:eastAsia="Times New Roman" w:cs="Times New Roman"/>
      <w:color w:val="902000"/>
    </w:rPr>
  </w:style>
  <w:style w:type="character" w:customStyle="1" w:styleId="DecValTok">
    <w:name w:val="DecValTok"/>
    <w:basedOn w:val="VerbatimChar"/>
    <w:rPr>
      <w:rFonts w:ascii="Times New Roman" w:hAnsi="Times New Roman" w:eastAsia="Times New Roman" w:cs="Times New Roman"/>
      <w:color w:val="40a070"/>
    </w:rPr>
  </w:style>
  <w:style w:type="character" w:customStyle="1" w:styleId="BaseNTok">
    <w:name w:val="BaseNTok"/>
    <w:basedOn w:val="VerbatimChar"/>
    <w:rPr>
      <w:rFonts w:ascii="Times New Roman" w:hAnsi="Times New Roman" w:eastAsia="Times New Roman" w:cs="Times New Roman"/>
      <w:color w:val="40a070"/>
    </w:rPr>
  </w:style>
  <w:style w:type="character" w:customStyle="1" w:styleId="FloatTok">
    <w:name w:val="FloatTok"/>
    <w:basedOn w:val="VerbatimChar"/>
    <w:rPr>
      <w:rFonts w:ascii="Times New Roman" w:hAnsi="Times New Roman" w:eastAsia="Times New Roman" w:cs="Times New Roman"/>
      <w:color w:val="40a070"/>
    </w:rPr>
  </w:style>
  <w:style w:type="character" w:customStyle="1" w:styleId="ConstantTok">
    <w:name w:val="ConstantTok"/>
    <w:basedOn w:val="VerbatimChar"/>
    <w:rPr>
      <w:rFonts w:ascii="Times New Roman" w:hAnsi="Times New Roman" w:eastAsia="Times New Roman" w:cs="Times New Roman"/>
      <w:color w:val="880000"/>
    </w:rPr>
  </w:style>
  <w:style w:type="character" w:customStyle="1" w:styleId="CharTok">
    <w:name w:val="CharTok"/>
    <w:basedOn w:val="VerbatimChar"/>
    <w:rPr>
      <w:rFonts w:ascii="Times New Roman" w:hAnsi="Times New Roman" w:eastAsia="Times New Roman" w:cs="Times New Roman"/>
      <w:color w:val="4070a0"/>
    </w:rPr>
  </w:style>
  <w:style w:type="character" w:customStyle="1" w:styleId="SpecialCharTok">
    <w:name w:val="SpecialCharTok"/>
    <w:basedOn w:val="VerbatimChar"/>
    <w:rPr>
      <w:rFonts w:ascii="Times New Roman" w:hAnsi="Times New Roman" w:eastAsia="Times New Roman" w:cs="Times New Roman"/>
      <w:color w:val="4070a0"/>
    </w:rPr>
  </w:style>
  <w:style w:type="character" w:customStyle="1" w:styleId="StringTok">
    <w:name w:val="StringTok"/>
    <w:basedOn w:val="VerbatimChar"/>
    <w:rPr>
      <w:rFonts w:ascii="Times New Roman" w:hAnsi="Times New Roman" w:eastAsia="Times New Roman" w:cs="Times New Roman"/>
      <w:color w:val="4070a0"/>
    </w:rPr>
  </w:style>
  <w:style w:type="character" w:customStyle="1" w:styleId="VerbatimStringTok">
    <w:name w:val="VerbatimStringTok"/>
    <w:basedOn w:val="VerbatimChar"/>
    <w:rPr>
      <w:rFonts w:ascii="Times New Roman" w:hAnsi="Times New Roman" w:eastAsia="Times New Roman" w:cs="Times New Roman"/>
      <w:color w:val="4070a0"/>
    </w:rPr>
  </w:style>
  <w:style w:type="character" w:customStyle="1" w:styleId="SpecialStringTok">
    <w:name w:val="SpecialStringTok"/>
    <w:basedOn w:val="VerbatimChar"/>
    <w:rPr>
      <w:rFonts w:ascii="Times New Roman" w:hAnsi="Times New Roman" w:eastAsia="Times New Roman" w:cs="Times New Roman"/>
      <w:color w:val="bb6688"/>
    </w:rPr>
  </w:style>
  <w:style w:type="character" w:customStyle="1" w:styleId="ImportTok">
    <w:name w:val="ImportTok"/>
    <w:basedOn w:val="VerbatimChar"/>
    <w:rPr>
      <w:color w:val="008000"/>
      <w:rFonts w:ascii="Times New Roman" w:hAnsi="Times New Roman" w:eastAsia="Times New Roman" w:cs="Times New Roman"/>
      <w:b/>
    </w:rPr>
  </w:style>
  <w:style w:type="character" w:customStyle="1" w:styleId="CommentTok">
    <w:name w:val="CommentTok"/>
    <w:basedOn w:val="VerbatimChar"/>
    <w:rPr>
      <w:color w:val="60a0b0"/>
      <w:rFonts w:ascii="Times New Roman" w:hAnsi="Times New Roman" w:eastAsia="Times New Roman" w:cs="Times New Roman"/>
      <w:i/>
    </w:rPr>
  </w:style>
  <w:style w:type="character" w:customStyle="1" w:styleId="DocumentationTok">
    <w:name w:val="DocumentationTok"/>
    <w:basedOn w:val="VerbatimChar"/>
    <w:rPr>
      <w:color w:val="ba2121"/>
      <w:rFonts w:ascii="Times New Roman" w:hAnsi="Times New Roman" w:eastAsia="Times New Roman" w:cs="Times New Roman"/>
      <w:i/>
    </w:rPr>
  </w:style>
  <w:style w:type="character" w:customStyle="1" w:styleId="AnnotationTok">
    <w:name w:val="AnnotationTok"/>
    <w:basedOn w:val="VerbatimChar"/>
    <w:rPr>
      <w:color w:val="60a0b0"/>
      <w:rFonts w:ascii="Times New Roman" w:hAnsi="Times New Roman" w:eastAsia="Times New Roman" w:cs="Times New Roman"/>
      <w:b/>
      <w:i/>
    </w:rPr>
  </w:style>
  <w:style w:type="character" w:customStyle="1" w:styleId="CommentVarTok">
    <w:name w:val="CommentVarTok"/>
    <w:basedOn w:val="VerbatimChar"/>
    <w:rPr>
      <w:color w:val="60a0b0"/>
      <w:rFonts w:ascii="Times New Roman" w:hAnsi="Times New Roman" w:eastAsia="Times New Roman" w:cs="Times New Roman"/>
      <w:b/>
      <w:i/>
    </w:rPr>
  </w:style>
  <w:style w:type="character" w:customStyle="1" w:styleId="OtherTok">
    <w:name w:val="OtherTok"/>
    <w:basedOn w:val="VerbatimChar"/>
    <w:rPr>
      <w:rFonts w:ascii="Times New Roman" w:hAnsi="Times New Roman" w:eastAsia="Times New Roman" w:cs="Times New Roman"/>
      <w:color w:val="007020"/>
    </w:rPr>
  </w:style>
  <w:style w:type="character" w:customStyle="1" w:styleId="FunctionTok">
    <w:name w:val="FunctionTok"/>
    <w:basedOn w:val="VerbatimChar"/>
    <w:rPr>
      <w:rFonts w:ascii="Times New Roman" w:hAnsi="Times New Roman" w:eastAsia="Times New Roman" w:cs="Times New Roman"/>
      <w:color w:val="06287e"/>
    </w:rPr>
  </w:style>
  <w:style w:type="character" w:customStyle="1" w:styleId="VariableTok">
    <w:name w:val="VariableTok"/>
    <w:basedOn w:val="VerbatimChar"/>
    <w:rPr>
      <w:rFonts w:ascii="Times New Roman" w:hAnsi="Times New Roman" w:eastAsia="Times New Roman" w:cs="Times New Roman"/>
      <w:color w:val="19177c"/>
    </w:rPr>
  </w:style>
  <w:style w:type="character" w:customStyle="1" w:styleId="ControlFlowTok">
    <w:name w:val="ControlFlowTok"/>
    <w:basedOn w:val="VerbatimChar"/>
    <w:rPr>
      <w:color w:val="007020"/>
      <w:rFonts w:ascii="Times New Roman" w:hAnsi="Times New Roman" w:eastAsia="Times New Roman" w:cs="Times New Roman"/>
      <w:b/>
    </w:rPr>
  </w:style>
  <w:style w:type="character" w:customStyle="1" w:styleId="OperatorTok">
    <w:name w:val="OperatorTok"/>
    <w:basedOn w:val="VerbatimChar"/>
    <w:rPr>
      <w:rFonts w:ascii="Times New Roman" w:hAnsi="Times New Roman" w:eastAsia="Times New Roman" w:cs="Times New Roman"/>
      <w:color w:val="666666"/>
    </w:rPr>
  </w:style>
  <w:style w:type="character" w:customStyle="1" w:styleId="BuiltInTok">
    <w:name w:val="BuiltInTok"/>
    <w:basedOn w:val="VerbatimChar"/>
    <w:rPr>
      <w:rFonts w:ascii="Times New Roman" w:hAnsi="Times New Roman" w:eastAsia="Times New Roman" w:cs="Times New Roman"/>
      <w:color w:val="008000"/>
    </w:rPr>
  </w:style>
  <w:style w:type="character" w:customStyle="1" w:styleId="ExtensionTok">
    <w:name w:val="ExtensionTok"/>
    <w:basedOn w:val="VerbatimChar"/>
    <w:rPr>
      <w:rFonts w:ascii="Times New Roman" w:hAnsi="Times New Roman" w:eastAsia="Times New Roman" w:cs="Times New Roman"/>
    </w:rPr>
  </w:style>
  <w:style w:type="character" w:customStyle="1" w:styleId="PreprocessorTok">
    <w:name w:val="PreprocessorTok"/>
    <w:basedOn w:val="VerbatimChar"/>
    <w:rPr>
      <w:rFonts w:ascii="Times New Roman" w:hAnsi="Times New Roman" w:eastAsia="Times New Roman" w:cs="Times New Roman"/>
      <w:color w:val="bc7a00"/>
    </w:rPr>
  </w:style>
  <w:style w:type="character" w:customStyle="1" w:styleId="AttributeTok">
    <w:name w:val="AttributeTok"/>
    <w:basedOn w:val="VerbatimChar"/>
    <w:rPr>
      <w:rFonts w:ascii="Times New Roman" w:hAnsi="Times New Roman" w:eastAsia="Times New Roman" w:cs="Times New Roman"/>
      <w:color w:val="7d9029"/>
    </w:rPr>
  </w:style>
  <w:style w:type="character" w:customStyle="1" w:styleId="RegionMarkerTok">
    <w:name w:val="RegionMarkerTok"/>
    <w:basedOn w:val="VerbatimChar"/>
    <w:rPr>
      <w:rFonts w:ascii="Times New Roman" w:hAnsi="Times New Roman" w:eastAsia="Times New Roman" w:cs="Times New Roman"/>
    </w:rPr>
  </w:style>
  <w:style w:type="character" w:customStyle="1" w:styleId="InformationTok">
    <w:name w:val="InformationTok"/>
    <w:basedOn w:val="VerbatimChar"/>
    <w:rPr>
      <w:color w:val="60a0b0"/>
      <w:rFonts w:ascii="Times New Roman" w:hAnsi="Times New Roman" w:eastAsia="Times New Roman" w:cs="Times New Roman"/>
      <w:b/>
      <w:i/>
    </w:rPr>
  </w:style>
  <w:style w:type="character" w:customStyle="1" w:styleId="WarningTok">
    <w:name w:val="WarningTok"/>
    <w:basedOn w:val="VerbatimChar"/>
    <w:rPr>
      <w:color w:val="60a0b0"/>
      <w:rFonts w:ascii="Times New Roman" w:hAnsi="Times New Roman" w:eastAsia="Times New Roman" w:cs="Times New Roman"/>
      <w:b/>
      <w:i/>
    </w:rPr>
  </w:style>
  <w:style w:type="character" w:customStyle="1" w:styleId="AlertTok">
    <w:name w:val="AlertTok"/>
    <w:basedOn w:val="VerbatimChar"/>
    <w:rPr>
      <w:color w:val="ff0000"/>
      <w:rFonts w:ascii="Times New Roman" w:hAnsi="Times New Roman" w:eastAsia="Times New Roman" w:cs="Times New Roman"/>
      <w:b/>
    </w:rPr>
  </w:style>
  <w:style w:type="character" w:customStyle="1" w:styleId="ErrorTok">
    <w:name w:val="ErrorTok"/>
    <w:basedOn w:val="VerbatimChar"/>
    <w:rPr>
      <w:color w:val="ff0000"/>
      <w:rFonts w:ascii="Times New Roman" w:hAnsi="Times New Roman" w:eastAsia="Times New Roman" w:cs="Times New Roman"/>
      <w:b/>
    </w:rPr>
  </w:style>
  <w:style w:type="character" w:customStyle="1" w:styleId="NormalTok">
    <w:name w:val="NormalTok"/>
    <w:basedOn w:val="VerbatimChar"/>
    <w:rPr>
      <w:rFonts w:ascii="Times New Roman" w:hAnsi="Times New Roman" w:eastAsia="Times New Roman" w:cs="Times New Roman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2026-09-11T09:55:23Z</dcterms:created>
  <dcterms:modified xsi:type="dcterms:W3CDTF">2026-09-11T09:55:23Z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