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тарифы"/>
    <w:p>
      <w:pPr>
        <w:pStyle w:val="Heading1"/>
        <w:keepNext/>
        <w:spacing w:before="200" w:after="1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Тарифы</w:t>
      </w:r>
    </w:p>
    <w:p>
      <w:pPr>
        <w:pStyle w:val="FirstParagraph"/>
        <w:spacing w:after="80"/>
        <w:jc w:val="both"/>
      </w:pPr>
      <w:r>
        <w:t>Версия 2026-10-12-v1 Дата редакции: 12.10.2026 Планируемая дата вступления в силу: 26.10.2026, при соблюдении сроков публикации и уведомления, предусмотренных договором. Если уведомление направлено позднее, дата применения переносится с соблюдением этих сроков и сообщается в кабинете.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Этот документ является частью Публичной оферты ТОО «Ausu». Он описывает, как рассчитывается курс активов к тенге и какие расходы несут стороны. Перечень активов, доступных для операций, показывается на сайте ausu.kz и в кабинете.</w:t>
      </w:r>
    </w:p>
    <w:bookmarkStart w:id="20" w:name="референсный-курс-usdt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1. Референсный курс USDT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1.1. Референсный курс (референс) равен средневзвешенной цене торговой сессии по инструменту USDKZT_TOM на Казахстанской фондовой бирже (KASE). Это значение поля «Курс» на сайте KASE по строке с фактическими сделками. Цена последней сделки не используется.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1.2. Референс обновляется автоматически в течение торгового дня. Значение референса, его источник и время получения сохраняются в заявке.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1.3. Если текущие данные KASE недоступны, применяется итог последней торговой сессии KASE. Он действует не больше 4 календарных дней. Если и он недоступен, применяется официальный курс Национального Банка Республики Казахстан. Он действует не больше 36 часов.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1.4. Текущее значение KASE сверяется с контрольным значением. Контрольное значение: итог последней торговой сессии KASE. Если его нет, контрольное значение: официальный курс Национального Банка. Допустимое расхождение: 2 %. Если расхождение больше, мы применяем последнее известное значение референса до восстановления данных. Приём заявок при этом не останавливается.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1.5. Референсный курс других активов, доступных в кабинете, определяется по данным международных торговых площадок в пересчёте на тенге в порядке, установленном Политикой курсообразования Компании. Источник референса и курс показываются в кабинете до создания заявки. Значение референса, его источник и время получения сохраняются в заявке.</w:t>
      </w:r>
    </w:p>
    <w:bookmarkEnd w:id="20"/>
    <w:bookmarkStart w:id="21" w:name="курс-заявки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2. Курс заявки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Правила пунктов 2.1, 2.2 и 2.3 применяются ко всем активам. Сетка спредов в пункте 2.4 применяется к USDT. Спред для других активов установлен пунктом 2.7.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2.1. Курс покупки (вы покупаете актив у нас) равен референсу, умноженному на (1 плюс спред).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2.2. Курс продажи (вы продаёте актив нам) равен референсу, умноженному на (1 минус спред).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2.3. Курс округляется в вашу пользу: курс покупки в меньшую сторону, курс продажи в большую сторону. Для USDT округление до 0,1 тенге. Для других активов точность округления курса показывается в кабинете. Сумма в тенге округляется до 1 тенге, сумма в активе до точности, показанной в кабинете (для USDT до 0,01 USDT).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2.4. Размер спреда для USDT зависит от суммы одной заявки: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9"/>
              </w:rPr>
              <w:t xml:space="preserve">Сумма заявки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9"/>
              </w:rPr>
              <w:t xml:space="preserve">Покупка USDT (спред)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9"/>
              </w:rPr>
              <w:t xml:space="preserve">Продажа USDT (спред)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до 1 000 USDT включительно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7 %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7 %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свыше 1 000 USDT и до 1 000 000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5 %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4,5 %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от 1 000 000 до 5 000 000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3,5 %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2,5 %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от 5 000 000 до 10 000 000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2,8 %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2 %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от 10 000 000 до 22 000 000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2,5 %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2 %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от 22 000 000 до 40 000 000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2,5 %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1,5 %</w:t>
            </w:r>
          </w:p>
        </w:tc>
      </w:tr>
      <w:tr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от 40 000 000 тенге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плюс 2,3 %</w:t>
            </w:r>
          </w:p>
        </w:tc>
        <w:tc>
          <w:tcPr/>
          <w:p>
            <w:pPr>
              <w:pStyle w:val="Compact"/>
              <w:spacing w:after="20"/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</w:rPr>
              <w:t xml:space="preserve">минус 1,5 %</w:t>
            </w:r>
          </w:p>
        </w:tc>
      </w:tr>
    </w:tbl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2.5. Ступень определяется по сумме одной заявки. При покупке это сумма в тенге, которую вы платите. При продаже это количество USDT, умноженное на референс. Сумма в USDT пересчитывается в тенге по референсу. Нижняя граница ступени входит в ступень, верхняя не входит. Несколько заявок не суммируются.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2.6. Курс USDT на сайте и в кабинете без указания суммы показывается для ступени «свыше 1 000 USDT и до 1 000 000 тенге»: плюс 5 % при покупке и минус 4,5 % при продаже. Точный курс вашей заявки показывается при её расчёте.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2.7. Спред для других активов устанавливается Политикой курсообразования Компании и показывается в кабинете до создания заявки вместе с итоговым курсом покупки и продажи. Курс других активов на сайте и в кабинете без указания суммы показывается для базовой ступени, указанной в кабинете.</w:t>
      </w:r>
    </w:p>
    <w:bookmarkEnd w:id="21"/>
    <w:bookmarkStart w:id="22" w:name="пример-расчёта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3. Пример расчёта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3.1. Референс: 450,30 тенге за 1 USDT.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3.2. Вы покупаете USDT на 500 000 тенге. Спред плюс 5 %. Курс: 450,30 × 1,05 = 472,815, после округления 472,8. Вы получите 500 000 / 472,8 = 1 057,53 USDT.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3.3. Вы продаёте 4 500 USDT. Сумма заявки: 4 500 × 450,30 = 2 026 350 тенге, ступень «от 1 000 000 до 5 000 000 тенге». Спред минус 2,5 %. Курс: 450,30 × 0,975 = 439,0425, после округления 439,1. Вы получите 4 500 × 439,1 = 1 975 950 тенге.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3.4. Цифры в примере условные. Реальный курс показывается в кабинете при расчёте заявки.</w:t>
      </w:r>
    </w:p>
    <w:bookmarkEnd w:id="22"/>
    <w:bookmarkStart w:id="23" w:name="фиксация-курса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4. Фиксация курса</w:t>
      </w:r>
    </w:p>
    <w:p>
      <w:pPr>
        <w:pStyle w:val="FirstParagraph"/>
        <w:spacing w:after="80"/>
        <w:jc w:val="both"/>
      </w:pPr>
      <w:r>
        <w:t>4.1. Первоначальный курс фиксируется в момент создания заявки и указывается в ней. Он сохраняется, если деньги или Актив фактически поступили не позднее двух часов с момента создания заявки, включая точную границу двух часов.</w:t>
      </w:r>
    </w:p>
    <w:p>
      <w:pPr>
        <w:pStyle w:val="BodyText"/>
        <w:spacing w:after="80"/>
        <w:jc w:val="both"/>
      </w:pPr>
      <w:r>
        <w:t>4.2. Если фактическое поступление произошло более чем через два часа после создания заявки, курс определяется на момент поступления по референсу и Тарифам, действовавшим в этот момент. При покупке сохраняется фактически поступившая сумма тенге и пересчитывается количество Актива к отправке. При продаже сохраняется фактически поступившее количество Актива и пересчитывается сумма тенге к выплате. Применяются правила спреда и округления раздела 2; пересчёт может изменить сумму к получению как в большую, так и в меньшую сторону.</w:t>
      </w:r>
    </w:p>
    <w:p>
      <w:pPr>
        <w:pStyle w:val="BodyText"/>
        <w:spacing w:after="80"/>
        <w:jc w:val="both"/>
      </w:pPr>
      <w:r>
        <w:t>4.3. Задержка проверки, загрузки выписки, автосверки, действий сотрудника или отправки Компанией сама по себе не меняет курс. Если деньги или Актив поступили в пределах двух часов, первоначальный курс сохраняется, даже когда обработка завершилась позже. Если поступление было поздним, более поздняя обработка не переносит момент расчёта курса с момента поступления на момент обработки.</w:t>
      </w:r>
    </w:p>
    <w:bookmarkEnd w:id="23"/>
    <w:bookmarkStart w:id="24" w:name="других-комиссий-нет"/>
    <w:p>
      <w:pPr>
        <w:pStyle w:val="FirstParagraph"/>
        <w:spacing w:after="80"/>
        <w:jc w:val="both"/>
      </w:pPr>
      <w:r>
        <w:t>4.4. Для банковского перевода используется подтверждённое банком время зачисления на счёт Компании. Для Актива используется время включения транзакции в блок соответствующей сети, при условии получения необходимого числа подтверждений. Время отправки чека, сообщения об оплате, получения выписки нашей системой или ручной проверки не определяет курс.</w:t>
      </w:r>
    </w:p>
    <w:p>
      <w:pPr>
        <w:pStyle w:val="FirstParagraph"/>
        <w:spacing w:after="80"/>
        <w:jc w:val="both"/>
      </w:pPr>
      <w:r>
        <w:t>4.5. Если надёжное время поступления или действовавший тогда курс не подтверждены, заявка передаётся на ручную сверку. Компания не заменяет их временем обработки или произвольным текущим курсом. Поступившие средства и исходные сведения сохраняются для разрешения ситуации по договору.</w:t>
      </w:r>
    </w:p>
    <w:p>
      <w:pPr>
        <w:pStyle w:val="FirstParagraph"/>
        <w:spacing w:after="80"/>
        <w:jc w:val="both"/>
      </w:pPr>
      <w:r>
        <w:t>4.6. В заявке и квитанции отражаются курс и сумма фактического исполнения; первоначальный расчёт сохраняется в истории. Правила этого раздела применяются только к новым заявкам после вступления этой редакции в силу и явного принятия клиентом оферты, включающей эту редакцию Тарифов. Ранее созданные заявки исполняются по прежним условиям.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5. Других комиссий нет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5.1. Спред к референсу является единственным вознаграждением Компании по всем активам.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5.2. Мы не берём плату за регистрацию, идентификацию, ведение кабинета, создание заявки, выплату на счёт или карту, приём наличных в кассе и выдачу документов об операции.</w:t>
      </w:r>
    </w:p>
    <w:bookmarkEnd w:id="24"/>
    <w:bookmarkStart w:id="25" w:name="банковские-и-сетевые-комиссии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6. Банковские и сетевые комиссии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6.1. Комиссию своего банка за перевод денег нам или за зачисление выплаты на ваш счёт или карту оплачиваете вы, если ваш банк её берёт.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6.2. Комиссию нашего банка за выплату вам оплачиваем мы.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6.3. Комиссию сети блокчейн за отправку актива вам оплачиваем мы.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6.4. Комиссию сети блокчейн за отправку актива нам оплачиваете вы. Её берёт сеть, мы её не получаем.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6.5. Приём наличных в кассе бесплатный.</w:t>
      </w:r>
    </w:p>
    <w:bookmarkEnd w:id="25"/>
    <w:bookmarkStart w:id="26" w:name="возврат-платежей-третьих-лиц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7. Возврат платежей третьих лиц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7.1. Деньги, поступившие от третьего лица, не принимаются в оплату заявки и возвращаются отправителю на тот же счёт или карту.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7.2. Из возвращаемой суммы мы удерживаем фактические расходы банка на возврат. Сумма расходов указывается в уведомлении о возврате.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7.3. Срок возврата: 5 рабочих дней с момента поступления денег, если у нас есть данные для возврата.</w:t>
      </w:r>
    </w:p>
    <w:bookmarkEnd w:id="26"/>
    <w:bookmarkStart w:id="27" w:name="лимиты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8. Лимиты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8.1. Для клиентов, не прошедших тест на знание цифровых активов, действует лимит: покупка до 7 000 000 тенге в сутки и продажа до 7 000 000 тенге в сутки. Сутки считаются по времени Астаны. Лимит установлен пунктом 56 Правил деятельности операторов обмена необеспеченных цифровых активов (постановление Правления Национального Банка от 29.04.2026 № 45).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8.2. Сумма одной заявки: от 25 000 до 500 000 000 тенге. Заявки вне этих пределов кабинет не принимает.</w:t>
      </w:r>
    </w:p>
    <w:bookmarkEnd w:id="27"/>
    <w:bookmarkStart w:id="28" w:name="изменение-тарифов"/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9. Изменение тарифов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9.1. Мы вправе менять тарифы. Новая версия публикуется на сайте ausu.kz в разделе /legal/ и в кабинете.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9.2. Об изменении тарифов мы уведомляем в кабинете и по электронной почте не позднее чем за 14 календарных дней до вступления новой версии в силу. Новые тарифы применяются к заявкам, созданным после вступления новой версии в силу. Заявки, созданные раньше, исполняются по прежним условиям.</w:t>
      </w:r>
    </w:p>
    <w:p>
      <w:pPr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pict>
          <v:rect style="width:0;height:1.5pt" o:hralign="center" o:hrstd="t" o:hr="t"/>
        </w:pict>
      </w:r>
    </w:p>
    <w:p>
      <w:pPr>
        <w:pStyle w:val="FirstParagraph"/>
        <w:spacing w:after="80"/>
        <w:jc w:val="both"/>
      </w:pPr>
      <w:r>
        <w:rPr>
          <w:bCs/>
          <w:rFonts w:ascii="Times New Roman" w:hAnsi="Times New Roman" w:eastAsia="Times New Roman" w:cs="Times New Roman"/>
          <w:b/>
          <w:color w:val="000000"/>
          <w:sz w:val="22"/>
        </w:rPr>
        <w:t xml:space="preserve">Реквизиты Компании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Товарищество с ограниченной ответственностью «Ausu» (бренд AUSU)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БИН 260540022655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Лицензия Национального Банка Республики Казахстан № 1726001О от 30.07.2026 на обмен необеспеченных цифровых активов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Юридический адрес: Республика Казахстан, 160000, г. Шымкент, Аль-Фарабийский район, ул. Бекет Батыр, 127А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Офис и касса: г. Шымкент, ул. Аймаутова, 99/1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Телефон: +7 706 668 68 60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E-mail: info@ausu.kz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Сайт и кабинет: ausu.kz. Telegram-бот для клиентов: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@ausu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_kzbot</w:t>
      </w:r>
    </w:p>
    <w:bookmarkEnd w:id="28"/>
    <w:bookmarkEnd w:id="29"/>
    <w:sectPr>
      <w:pgMar w:left="1417" w:right="850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eastAsia="Times New Roman" w:cs="Times New Roman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eastAsia="Times New Roman" w:cs="Times New Roman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eastAsia="Times New Roman" w:cs="Times New Roman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eastAsia="Times New Roman" w:cs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Times New Roman" w:hAnsi="Times New Roman" w:eastAsia="Times New Roman" w:cs="Times New Roman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eastAsia="Times New Roman" w:cs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eastAsia="Times New Roman" w:cs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 w:ascii="Times New Roman" w:hAnsi="Times New Roman" w:eastAsia="Times New Roman" w:cs="Times New Roman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 w:ascii="Times New Roman" w:hAnsi="Times New Roman" w:eastAsia="Times New Roman" w:cs="Times New Roman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eastAsia="Times New Roman" w:cs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eastAsia="Times New Roman" w:cs="Times New Roman"/>
    </w:rPr>
  </w:style>
  <w:style w:default="1" w:styleId="DefaultParagraphFont" w:type="character">
    <w:name w:val="Default Paragraph Font"/>
    <w:semiHidden/>
    <w:unhideWhenUsed/>
    <w:rPr>
      <w:rFonts w:ascii="Times New Roman" w:hAnsi="Times New Roman" w:eastAsia="Times New Roman" w:cs="Times New Roman"/>
    </w:rPr>
  </w:style>
  <w:style w:default="1" w:styleId="Table" w:type="table">
    <w:name w:val="Table"/>
    <w:basedOn w:val="TableNormal"/>
    <w:semiHidden/>
    <w:unhideWhenUsed/>
    <w:qFormat/>
    <w:rPr>
      <w:rFonts w:ascii="Times New Roman" w:hAnsi="Times New Roman" w:eastAsia="Times New Roman" w:cs="Times New Roman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eastAsia="Times New Roman" w:cs="Times New Roman"/>
      <w:b/>
    </w:rPr>
  </w:style>
  <w:style w:customStyle="1" w:styleId="Definition" w:type="paragraph">
    <w:name w:val="Definition"/>
    <w:basedOn w:val="Normal"/>
    <w:rPr>
      <w:rFonts w:ascii="Times New Roman" w:hAnsi="Times New Roman" w:eastAsia="Times New Roman" w:cs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eastAsia="Times New Roman" w:cs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eastAsia="Times New Roman" w:cs="Times New Roman"/>
    </w:rPr>
  </w:style>
  <w:style w:customStyle="1" w:styleId="ImageCaption" w:type="paragraph">
    <w:name w:val="Image Caption"/>
    <w:basedOn w:val="Caption"/>
    <w:rPr>
      <w:rFonts w:ascii="Times New Roman" w:hAnsi="Times New Roman" w:eastAsia="Times New Roman" w:cs="Times New Roman"/>
    </w:rPr>
  </w:style>
  <w:style w:customStyle="1" w:styleId="Figure" w:type="paragraph">
    <w:name w:val="Figure"/>
    <w:basedOn w:val="Normal"/>
    <w:rPr>
      <w:rFonts w:ascii="Times New Roman" w:hAnsi="Times New Roman" w:eastAsia="Times New Roman" w:cs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eastAsia="Times New Roman" w:cs="Times New Roman"/>
    </w:rPr>
  </w:style>
  <w:style w:customStyle="1" w:styleId="BodyTextChar" w:type="character">
    <w:name w:val="Body Text Char"/>
    <w:basedOn w:val="DefaultParagraphFont"/>
    <w:link w:val="BodyText"/>
    <w:rPr>
      <w:rFonts w:ascii="Times New Roman" w:hAnsi="Times New Roman" w:eastAsia="Times New Roman" w:cs="Times New Roman"/>
    </w:rPr>
  </w:style>
  <w:style w:customStyle="1" w:styleId="VerbatimChar" w:type="character">
    <w:name w:val="Verbatim Char"/>
    <w:basedOn w:val="BodyTextChar"/>
    <w:rPr>
      <w:rFonts w:ascii="Times New Roman" w:hAnsi="Times New Roman" w:eastAsia="Times New Roman" w:cs="Times New Roman"/>
      <w:sz w:val="22"/>
    </w:rPr>
  </w:style>
  <w:style w:customStyle="1" w:styleId="SectionNumber" w:type="character">
    <w:name w:val="Section Number"/>
    <w:basedOn w:val="BodyTextChar"/>
    <w:rPr>
      <w:rFonts w:ascii="Times New Roman" w:hAnsi="Times New Roman" w:eastAsia="Times New Roman" w:cs="Times New Roman"/>
    </w:rPr>
  </w:style>
  <w:style w:styleId="FootnoteReference" w:type="character">
    <w:name w:val="Footnote Reference"/>
    <w:basedOn w:val="BodyTextChar"/>
    <w:rPr>
      <w:rFonts w:ascii="Times New Roman" w:hAnsi="Times New Roman" w:eastAsia="Times New Roman" w:cs="Times New Roman"/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Times New Roman" w:cs="Times New Roman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Times New Roman" w:hAnsi="Times New Roman" w:eastAsia="Times New Roman" w:cs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eastAsia="Times New Roman" w:cs="Times New Roman"/>
    </w:rPr>
  </w:style>
  <w:style w:type="character" w:customStyle="1" w:styleId="KeywordTok">
    <w:name w:val="Keyword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DataTypeTok">
    <w:name w:val="DataTypeTok"/>
    <w:basedOn w:val="VerbatimChar"/>
    <w:rPr>
      <w:rFonts w:ascii="Times New Roman" w:hAnsi="Times New Roman" w:eastAsia="Times New Roman" w:cs="Times New Roman"/>
      <w:color w:val="902000"/>
    </w:rPr>
  </w:style>
  <w:style w:type="character" w:customStyle="1" w:styleId="DecValTok">
    <w:name w:val="DecVal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BaseNTok">
    <w:name w:val="BaseN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FloatTok">
    <w:name w:val="Float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ConstantTok">
    <w:name w:val="ConstantTok"/>
    <w:basedOn w:val="VerbatimChar"/>
    <w:rPr>
      <w:rFonts w:ascii="Times New Roman" w:hAnsi="Times New Roman" w:eastAsia="Times New Roman" w:cs="Times New Roman"/>
      <w:color w:val="880000"/>
    </w:rPr>
  </w:style>
  <w:style w:type="character" w:customStyle="1" w:styleId="CharTok">
    <w:name w:val="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CharTok">
    <w:name w:val="Special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tringTok">
    <w:name w:val="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VerbatimStringTok">
    <w:name w:val="Verbatim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StringTok">
    <w:name w:val="SpecialStringTok"/>
    <w:basedOn w:val="VerbatimChar"/>
    <w:rPr>
      <w:rFonts w:ascii="Times New Roman" w:hAnsi="Times New Roman" w:eastAsia="Times New Roman" w:cs="Times New Roman"/>
      <w:color w:val="bb6688"/>
    </w:rPr>
  </w:style>
  <w:style w:type="character" w:customStyle="1" w:styleId="ImportTok">
    <w:name w:val="ImportTok"/>
    <w:basedOn w:val="VerbatimChar"/>
    <w:rPr>
      <w:color w:val="008000"/>
      <w:rFonts w:ascii="Times New Roman" w:hAnsi="Times New Roman" w:eastAsia="Times New Roman" w:cs="Times New Roman"/>
      <w:b/>
    </w:rPr>
  </w:style>
  <w:style w:type="character" w:customStyle="1" w:styleId="CommentTok">
    <w:name w:val="CommentTok"/>
    <w:basedOn w:val="VerbatimChar"/>
    <w:rPr>
      <w:color w:val="60a0b0"/>
      <w:rFonts w:ascii="Times New Roman" w:hAnsi="Times New Roman" w:eastAsia="Times New Roman" w:cs="Times New Roman"/>
      <w:i/>
    </w:rPr>
  </w:style>
  <w:style w:type="character" w:customStyle="1" w:styleId="DocumentationTok">
    <w:name w:val="DocumentationTok"/>
    <w:basedOn w:val="VerbatimChar"/>
    <w:rPr>
      <w:color w:val="ba2121"/>
      <w:rFonts w:ascii="Times New Roman" w:hAnsi="Times New Roman" w:eastAsia="Times New Roman" w:cs="Times New Roman"/>
      <w:i/>
    </w:rPr>
  </w:style>
  <w:style w:type="character" w:customStyle="1" w:styleId="AnnotationTok">
    <w:name w:val="Annot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CommentVarTok">
    <w:name w:val="CommentVar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OtherTok">
    <w:name w:val="OtherTok"/>
    <w:basedOn w:val="VerbatimChar"/>
    <w:rPr>
      <w:rFonts w:ascii="Times New Roman" w:hAnsi="Times New Roman" w:eastAsia="Times New Roman" w:cs="Times New Roman"/>
      <w:color w:val="007020"/>
    </w:rPr>
  </w:style>
  <w:style w:type="character" w:customStyle="1" w:styleId="FunctionTok">
    <w:name w:val="FunctionTok"/>
    <w:basedOn w:val="VerbatimChar"/>
    <w:rPr>
      <w:rFonts w:ascii="Times New Roman" w:hAnsi="Times New Roman" w:eastAsia="Times New Roman" w:cs="Times New Roman"/>
      <w:color w:val="06287e"/>
    </w:rPr>
  </w:style>
  <w:style w:type="character" w:customStyle="1" w:styleId="VariableTok">
    <w:name w:val="VariableTok"/>
    <w:basedOn w:val="VerbatimChar"/>
    <w:rPr>
      <w:rFonts w:ascii="Times New Roman" w:hAnsi="Times New Roman" w:eastAsia="Times New Roman" w:cs="Times New Roman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OperatorTok">
    <w:name w:val="OperatorTok"/>
    <w:basedOn w:val="VerbatimChar"/>
    <w:rPr>
      <w:rFonts w:ascii="Times New Roman" w:hAnsi="Times New Roman" w:eastAsia="Times New Roman" w:cs="Times New Roman"/>
      <w:color w:val="666666"/>
    </w:rPr>
  </w:style>
  <w:style w:type="character" w:customStyle="1" w:styleId="BuiltInTok">
    <w:name w:val="BuiltInTok"/>
    <w:basedOn w:val="VerbatimChar"/>
    <w:rPr>
      <w:rFonts w:ascii="Times New Roman" w:hAnsi="Times New Roman" w:eastAsia="Times New Roman" w:cs="Times New Roman"/>
      <w:color w:val="008000"/>
    </w:rPr>
  </w:style>
  <w:style w:type="character" w:customStyle="1" w:styleId="ExtensionTok">
    <w:name w:val="ExtensionTok"/>
    <w:basedOn w:val="VerbatimChar"/>
    <w:rPr>
      <w:rFonts w:ascii="Times New Roman" w:hAnsi="Times New Roman" w:eastAsia="Times New Roman" w:cs="Times New Roman"/>
    </w:rPr>
  </w:style>
  <w:style w:type="character" w:customStyle="1" w:styleId="PreprocessorTok">
    <w:name w:val="PreprocessorTok"/>
    <w:basedOn w:val="VerbatimChar"/>
    <w:rPr>
      <w:rFonts w:ascii="Times New Roman" w:hAnsi="Times New Roman" w:eastAsia="Times New Roman" w:cs="Times New Roman"/>
      <w:color w:val="bc7a00"/>
    </w:rPr>
  </w:style>
  <w:style w:type="character" w:customStyle="1" w:styleId="AttributeTok">
    <w:name w:val="AttributeTok"/>
    <w:basedOn w:val="VerbatimChar"/>
    <w:rPr>
      <w:rFonts w:ascii="Times New Roman" w:hAnsi="Times New Roman" w:eastAsia="Times New Roman" w:cs="Times New Roman"/>
      <w:color w:val="7d9029"/>
    </w:rPr>
  </w:style>
  <w:style w:type="character" w:customStyle="1" w:styleId="RegionMarkerTok">
    <w:name w:val="RegionMarkerTok"/>
    <w:basedOn w:val="VerbatimChar"/>
    <w:rPr>
      <w:rFonts w:ascii="Times New Roman" w:hAnsi="Times New Roman" w:eastAsia="Times New Roman" w:cs="Times New Roman"/>
    </w:rPr>
  </w:style>
  <w:style w:type="character" w:customStyle="1" w:styleId="InformationTok">
    <w:name w:val="Inform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WarningTok">
    <w:name w:val="Warning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AlertTok">
    <w:name w:val="Alert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ErrorTok">
    <w:name w:val="Error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NormalTok">
    <w:name w:val="NormalTok"/>
    <w:basedOn w:val="VerbatimChar"/>
    <w:rPr>
      <w:rFonts w:ascii="Times New Roman" w:hAnsi="Times New Roman" w:eastAsia="Times New Roman" w:cs="Times New Roman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2026-09-11T09:55:23Z</dcterms:created>
  <dcterms:modified xsi:type="dcterms:W3CDTF">2026-09-11T09:55:23Z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