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rPr>
          <w:b w:val="0"/>
        </w:rPr>
        <w:t>Согласие на передачу данных для кошелька CustodianOne</w:t>
      </w:r>
    </w:p>
    <w:p>
      <w:pPr>
        <w:keepNext w:val="0"/>
        <w:widowControl/>
      </w:pPr>
      <w:r>
        <w:rPr>
          <w:b w:val="0"/>
        </w:rPr>
        <w:t>Приложение 2 к приказу ТОО «Ausu» № 8 от 14.10.2026</w:t>
      </w:r>
    </w:p>
    <w:p>
      <w:pPr>
        <w:keepNext w:val="0"/>
        <w:widowControl/>
      </w:pPr>
      <w:r>
        <w:rPr>
          <w:b w:val="0"/>
        </w:rPr>
        <w:t>Редакция 2026-10-14-v1 от 14 октября 2026 года</w:t>
      </w:r>
    </w:p>
    <w:p>
      <w:pPr>
        <w:pStyle w:val="Heading1"/>
        <w:widowControl/>
      </w:pPr>
      <w:r>
        <w:rPr>
          <w:b w:val="0"/>
        </w:rPr>
        <w:t>Короткий текст отдельной галочки</w:t>
      </w:r>
    </w:p>
    <w:p>
      <w:pPr>
        <w:keepNext w:val="0"/>
        <w:widowControl/>
      </w:pPr>
      <w:r>
        <w:rPr>
          <w:b w:val="0"/>
        </w:rPr>
        <w:t>☐ Даю отдельное согласие ТОО «Ausu» на передачу ТОО «CustodianOne» и обработку необходимых для создания и обслуживания моего кошелька данных на условиях Согласия на передачу данных CustodianOne.</w:t>
      </w:r>
    </w:p>
    <w:p>
      <w:pPr>
        <w:pStyle w:val="Heading1"/>
        <w:widowControl/>
      </w:pPr>
      <w:r>
        <w:rPr>
          <w:b w:val="0"/>
        </w:rPr>
        <w:t>1. Кто даёт согласие и кому</w:t>
      </w:r>
    </w:p>
    <w:p>
      <w:pPr>
        <w:keepNext w:val="0"/>
        <w:widowControl/>
      </w:pPr>
      <w:r>
        <w:rPr>
          <w:b w:val="0"/>
        </w:rPr>
        <w:t>Я, клиент AUSU, идентифицированный в личном кабинете, подтверждаю отдельное согласие ТОО «Ausu», БИН 260540022655 (далее AUSU), на передачу моих персональных данных ТОО «CustodianOne», БИН 250840022139 (далее CustodianOne), и на их обработку AUSU и CustodianOne в указанных ниже целях и пределах. Мои фамилия, имя, отчество при наличии, ИИН при наличии либо идентификационные реквизиты документа включаются в электронное подтверждение этого согласия из проверенных данных моего профиля.</w:t>
      </w:r>
    </w:p>
    <w:p>
      <w:pPr>
        <w:keepNext w:val="0"/>
        <w:widowControl/>
      </w:pPr>
      <w:r>
        <w:rPr>
          <w:b w:val="0"/>
        </w:rPr>
        <w:t>Если я действую от имени юридического лица, электронное подтверждение также содержит его наименование, БИН либо иностранный регистрационный номер, мою роль и основание полномочий. Я даю согласие на обработку собственных персональных данных. Передача персональных данных иных физических лиц требует их согласия или другого самостоятельного законного основания.</w:t>
      </w:r>
    </w:p>
    <w:p>
      <w:pPr>
        <w:keepNext w:val="0"/>
        <w:widowControl/>
      </w:pPr>
      <w:r>
        <w:rPr>
          <w:b w:val="0"/>
        </w:rPr>
        <w:t xml:space="preserve">Для обращений: AUSU - </w:t>
      </w:r>
      <w:r>
        <w:rPr>
          <w:b/>
        </w:rPr>
        <w:t>info@ausu.kz</w:t>
      </w:r>
      <w:r>
        <w:rPr>
          <w:b w:val="0"/>
        </w:rPr>
        <w:t xml:space="preserve">; CustodianOne - </w:t>
      </w:r>
      <w:r>
        <w:rPr>
          <w:b/>
        </w:rPr>
        <w:t>office@custodian.kz</w:t>
      </w:r>
      <w:r>
        <w:rPr>
          <w:b w:val="0"/>
        </w:rPr>
        <w:t>. Подтверждение содержит мои данные, редакцию согласия, дату и время моего действия и доступно в кабинете AUSU.</w:t>
      </w:r>
    </w:p>
    <w:p>
      <w:pPr>
        <w:pStyle w:val="Heading1"/>
        <w:widowControl/>
      </w:pPr>
      <w:r>
        <w:rPr>
          <w:b w:val="0"/>
        </w:rPr>
        <w:t>2. Для чего используются данные</w:t>
      </w:r>
    </w:p>
    <w:p>
      <w:pPr>
        <w:keepNext w:val="0"/>
        <w:widowControl/>
      </w:pPr>
      <w:r>
        <w:rPr>
          <w:b w:val="0"/>
        </w:rPr>
        <w:t>Данные используются для исполнения моего явно выраженного поручения на создание кошелька либо продолжения обслуживания моего уже действующего кошелька, установления принадлежности кошелька мне, предоставления доступа к сведениям о нём, хранения и исполнения моих подтверждённых поручений с цифровыми активами, рассмотрения связанных обращений и выполнения применимых требований законодательства к этой услуге.</w:t>
      </w:r>
    </w:p>
    <w:p>
      <w:pPr>
        <w:keepNext w:val="0"/>
        <w:widowControl/>
      </w:pPr>
      <w:r>
        <w:rPr>
          <w:b w:val="0"/>
        </w:rPr>
        <w:t>Я подтверждаю это согласие отдельной, заранее не установленной отметкой на экране, где указаны актив, сеть и применимые условия обслуживания. Кнопкой «Принять условия и создать кошелёк» я одновременно принимаю отмеченные условия, даю это согласие и направляю явно показанное поручение на создание кошелька. Согласие на данные и поручение фиксируются раздельно как части одного подтверждённого действия; дополнительного действия для отправки поручения не требуется. Передача для создания начинается после подтверждения и сохранения этого действия.</w:t>
      </w:r>
    </w:p>
    <w:p>
      <w:pPr>
        <w:keepNext w:val="0"/>
        <w:widowControl/>
      </w:pPr>
      <w:r>
        <w:rPr>
          <w:b w:val="0"/>
        </w:rPr>
        <w:t>Если у меня уже есть подходящий действующий кошелёк в рабочей сети, на экране показываются его адрес и сеть, а кнопка «Принять условия и использовать кошелёк» подтверждает продолжение его обслуживания без создания второго кошелька. Создание или использование кошелька не оформляет покупку, продажу либо перевод средств: такие операции требуют моего отдельного поручения.</w:t>
      </w:r>
    </w:p>
    <w:p>
      <w:pPr>
        <w:pStyle w:val="Heading1"/>
        <w:widowControl/>
      </w:pPr>
      <w:r>
        <w:rPr>
          <w:b w:val="0"/>
        </w:rPr>
        <w:t>3. Какие сведения могут передаваться</w:t>
      </w:r>
    </w:p>
    <w:p>
      <w:pPr>
        <w:keepNext w:val="0"/>
        <w:widowControl/>
      </w:pPr>
      <w:r>
        <w:rPr>
          <w:b w:val="0"/>
        </w:rPr>
        <w:t>Передаются только относящиеся ко мне сведения и документы, необходимые для указанных целей:</w:t>
      </w:r>
    </w:p>
    <w:p>
      <w:pPr>
        <w:keepNext w:val="0"/>
        <w:widowControl/>
      </w:pPr>
      <w:r>
        <w:rPr>
          <w:b w:val="0"/>
        </w:rPr>
        <w:t xml:space="preserve">1. </w:t>
      </w:r>
      <w:r>
        <w:rPr>
          <w:b/>
        </w:rPr>
        <w:t>Идентификация:</w:t>
      </w:r>
      <w:r>
        <w:rPr>
          <w:b w:val="0"/>
        </w:rPr>
        <w:t xml:space="preserve"> фамилия, имя, отчество при наличии; дата рождения; гражданство и резидентство; ИИН при наличии; вид, номер, срок действия и реквизиты выдачи документа, удостоверяющего личность; адрес регистрации и проживания; контактные телефон и электронная почта. Копия удостоверяющего документа передаётся только при необходимости подтверждения личности и наличии основания для такой передачи.</w:t>
      </w:r>
    </w:p>
    <w:p>
      <w:pPr>
        <w:keepNext w:val="0"/>
        <w:widowControl/>
      </w:pPr>
      <w:r>
        <w:rPr>
          <w:b w:val="0"/>
        </w:rPr>
        <w:t xml:space="preserve">2. </w:t>
      </w:r>
      <w:r>
        <w:rPr>
          <w:b/>
        </w:rPr>
        <w:t>Проверка допуска к услуге:</w:t>
      </w:r>
      <w:r>
        <w:rPr>
          <w:b w:val="0"/>
        </w:rPr>
        <w:t xml:space="preserve"> решение AUSU о допуске, дата и относящиеся к услуге основания решения; сведения о выполненной идентификации и действительности документа; необходимые результаты проверок по обязательным перечням, статусу публичного должностного лица и оценке риска; относящиеся к услуге сведения об источнике средств и подтверждающие документы, если они требуются для обслуживания. Передача сведений, полученных от иных организаций или государственных информационных систем, ограничивается разрешённым для дальнейшей передачи составом.</w:t>
      </w:r>
    </w:p>
    <w:p>
      <w:pPr>
        <w:keepNext w:val="0"/>
        <w:widowControl/>
      </w:pPr>
      <w:r>
        <w:rPr>
          <w:b w:val="0"/>
        </w:rPr>
        <w:t xml:space="preserve">3. </w:t>
      </w:r>
      <w:r>
        <w:rPr>
          <w:b/>
        </w:rPr>
        <w:t>Кошелёк и операции:</w:t>
      </w:r>
      <w:r>
        <w:rPr>
          <w:b w:val="0"/>
        </w:rPr>
        <w:t xml:space="preserve"> мой внутренний идентификатор у AUSU; идентификатор и адрес кошелька; актив и сеть; относящиеся к кошельку поручения, суммы, даты и статусы операций, идентификаторы транзакций; необходимые сведения о принадлежности внешнего кошелька и проверке соответствующей операции.</w:t>
      </w:r>
    </w:p>
    <w:p>
      <w:pPr>
        <w:keepNext w:val="0"/>
        <w:widowControl/>
      </w:pPr>
      <w:r>
        <w:rPr>
          <w:b w:val="0"/>
        </w:rPr>
        <w:t xml:space="preserve">4. </w:t>
      </w:r>
      <w:r>
        <w:rPr>
          <w:b/>
        </w:rPr>
        <w:t>Подтверждение условий обслуживания:</w:t>
      </w:r>
      <w:r>
        <w:rPr>
          <w:b w:val="0"/>
        </w:rPr>
        <w:t xml:space="preserve"> принятые мной редакции оферты, Дополнения № 1 об условиях создания кошелька и кастодиального хранения и настоящего согласия; даты, время и сведения о подтверждении этих действий; содержание и подтверждение конкретного поручения либо продолжения обслуживания указанного действующего кошелька; связанные с обслуживанием обращения.</w:t>
      </w:r>
    </w:p>
    <w:p>
      <w:pPr>
        <w:keepNext w:val="0"/>
        <w:widowControl/>
      </w:pPr>
      <w:r>
        <w:rPr>
          <w:b w:val="0"/>
        </w:rPr>
        <w:t>Объём для каждого случая определяется его целью. Это согласие не разрешает передачу всей истории моего обслуживания, всех банковских документов или всех материалов досье без связи с созданием и обслуживанием моего кошелька.</w:t>
      </w:r>
    </w:p>
    <w:p>
      <w:pPr>
        <w:keepNext w:val="0"/>
        <w:widowControl/>
      </w:pPr>
      <w:r>
        <w:rPr>
          <w:b w:val="0"/>
        </w:rPr>
        <w:t>Биометрические образцы и шаблоны, запись проверки присутствия, пароли, одноразовые коды, средства входа в кабинет и сведения о других клиентах в объём этого согласия не входят. Оно также не расширяет установленные законом или условиями источника ограничения на раскрытие информации о проверках и государственном информационном обмене.</w:t>
      </w:r>
    </w:p>
    <w:p>
      <w:pPr>
        <w:pStyle w:val="Heading1"/>
        <w:widowControl/>
      </w:pPr>
      <w:r>
        <w:rPr>
          <w:b w:val="0"/>
        </w:rPr>
        <w:t>4. Действия с данными и пределы передачи</w:t>
      </w:r>
    </w:p>
    <w:p>
      <w:pPr>
        <w:keepNext w:val="0"/>
        <w:widowControl/>
      </w:pPr>
      <w:r>
        <w:rPr>
          <w:b w:val="0"/>
        </w:rPr>
        <w:t>AUSU и CustodianOne могут собирать полученные в рамках этой услуги сведения, записывать, систематизировать, проверять и уточнять их, хранить и использовать для указанных целей, обмениваться необходимыми уточнениями и результатами обслуживания, а по завершении законного срока хранения - обезличивать или уничтожать их.</w:t>
      </w:r>
    </w:p>
    <w:p>
      <w:pPr>
        <w:keepNext w:val="0"/>
        <w:widowControl/>
      </w:pPr>
      <w:r>
        <w:rPr>
          <w:b w:val="0"/>
        </w:rPr>
        <w:t>Это согласие распространяется на передачу между AUSU и названным CustodianOne. Оно не предоставляет общего разрешения передавать мои данные другим коммерческим организациям. Раскрытие уполномоченному государственному органу в случаях, прямо установленных законом, осуществляется на соответствующем законном основании.</w:t>
      </w:r>
    </w:p>
    <w:p>
      <w:pPr>
        <w:keepNext w:val="0"/>
        <w:widowControl/>
      </w:pPr>
      <w:r>
        <w:rPr>
          <w:b/>
        </w:rPr>
        <w:t>Настоящее согласие не распространяется на трансграничную передачу персональных данных или их общедоступное распространение.</w:t>
      </w:r>
      <w:r>
        <w:rPr>
          <w:b w:val="0"/>
        </w:rPr>
        <w:t xml:space="preserve"> Оно не даёт согласия на рекламу, продажу данных или использование данных для целей, не связанных с указанной услугой.</w:t>
      </w:r>
    </w:p>
    <w:p>
      <w:pPr>
        <w:pStyle w:val="Heading1"/>
        <w:widowControl/>
      </w:pPr>
      <w:r>
        <w:rPr>
          <w:b w:val="0"/>
        </w:rPr>
        <w:t>5. Срок</w:t>
      </w:r>
    </w:p>
    <w:p>
      <w:pPr>
        <w:keepNext w:val="0"/>
        <w:widowControl/>
      </w:pPr>
      <w:r>
        <w:rPr>
          <w:b w:val="0"/>
        </w:rPr>
        <w:t>Согласие действует со дня его подтверждения до моего отзыва или завершения обслуживания всех кошельков, открытых по моим поручениям на этих условиях. Передача новых сведений прекращается после завершения обслуживания, кроме сведений, необходимых для рассмотрения уже возникшего обращения, исполнения обязанности по закону или подтверждения исполнения ранее направленного поручения.</w:t>
      </w:r>
    </w:p>
    <w:p>
      <w:pPr>
        <w:keepNext w:val="0"/>
        <w:widowControl/>
      </w:pPr>
      <w:r>
        <w:rPr>
          <w:b w:val="0"/>
        </w:rPr>
        <w:t>Подтверждения согласия и деловых отношений сохраняются в архиве в течение пяти лет после прекращения деловых отношений, а документы об отдельных операциях не менее пяти лет после их совершения. Если закон требует более длительного хранения конкретных сведений, они сохраняются только в соответствующем составе и на этом законном основании. Архивное хранение не разрешает новое использование данных для рекламы или иных услуг.</w:t>
      </w:r>
    </w:p>
    <w:p>
      <w:pPr>
        <w:pStyle w:val="Heading1"/>
        <w:widowControl/>
      </w:pPr>
      <w:r>
        <w:rPr>
          <w:b w:val="0"/>
        </w:rPr>
        <w:t>6. Отказ и отзыв</w:t>
      </w:r>
    </w:p>
    <w:p>
      <w:pPr>
        <w:keepNext w:val="0"/>
        <w:widowControl/>
      </w:pPr>
      <w:r>
        <w:rPr>
          <w:b w:val="0"/>
        </w:rPr>
        <w:t>Я могу не давать это согласие. После вступления новых условий обслуживания в силу для новых покупок и продаж через AUSU необходимы принятие применимых условий, согласие на необходимую передачу данных и действующий кошелёк через CustodianOne. При отказе новые обменные заявки недоступны. Отказ не отменяет мои текущие заявки, доступ к истории и документам, права на принадлежащие мне активы и их законный вывод. Возврат в кабинет без подтверждения не считается согласием.</w:t>
      </w:r>
    </w:p>
    <w:p>
      <w:pPr>
        <w:keepNext w:val="0"/>
        <w:widowControl/>
      </w:pPr>
      <w:r>
        <w:rPr>
          <w:b w:val="0"/>
        </w:rPr>
        <w:t xml:space="preserve">Я могу отозвать согласие через обращение в кабинете AUSU либо по адресу </w:t>
      </w:r>
      <w:r>
        <w:rPr>
          <w:b/>
        </w:rPr>
        <w:t>info@ausu.kz</w:t>
      </w:r>
      <w:r>
        <w:rPr>
          <w:b w:val="0"/>
        </w:rPr>
        <w:t>. AUSU подтверждает мою личность безопасным способом, регистрирует обращение и сообщает о его исполнении и сведениях, которые обязана продолжать хранить по закону. AUSU передаёт CustodianOne информацию об отзыве и организует прекращение обработки на основании согласия в установленном законом порядке и сроке.</w:t>
      </w:r>
    </w:p>
    <w:p>
      <w:pPr>
        <w:keepNext w:val="0"/>
        <w:widowControl/>
      </w:pPr>
      <w:r>
        <w:rPr>
          <w:b w:val="0"/>
        </w:rPr>
        <w:t>После отзыва согласия новые обменные заявки и новые поручения на создание кошелька, требующие обработки на основании этого согласия, недоступны. Если на уже созданном кошельке остаются активы, AUSU разъясняет порядок безопасного завершения обслуживания. Отзыв не означает утрату активов, удаление необходимых ключей или автоматическое уничтожение сведений, которые обязаны храниться по закону. Текущие обязательства и действия с уже имеющимися активами исполняются по моим подтверждённым поручениям и применимым законным основаниям.</w:t>
      </w:r>
    </w:p>
    <w:sectPr w:rsidR="00FC693F" w:rsidRPr="0006063C" w:rsidSect="00034616">
      <w:footerReference w:type="default" r:id="rId9"/>
      <w:pgSz w:w="12240" w:h="15840"/>
      <w:pgMar w:top="936" w:right="1080" w:bottom="93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259" w:lineRule="auto"/>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80" w:after="100" w:line="259" w:lineRule="auto"/>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80" w:after="100" w:line="25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Theme="majorHAnsi" w:eastAsiaTheme="majorEastAsia" w:hAnsiTheme="majorHAnsi" w:cstheme="majorBidi" w:ascii="Calibri" w:hAnsi="Calibri"/>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59"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передачу данных для кошелька CustodianOne</dc:title>
  <dc:subject>Приложение к приказу № 8 от 14.10.2026</dc:subject>
  <dc:creator>ТОО Ausu</dc:creator>
  <cp:keywords/>
  <dc:description/>
  <cp:lastModifiedBy/>
  <cp:revision>1</cp:revision>
  <dcterms:created xsi:type="dcterms:W3CDTF">2013-12-23T23:15:00Z</dcterms:created>
  <dcterms:modified xsi:type="dcterms:W3CDTF">2013-12-23T23:15:00Z</dcterms:modified>
  <cp:category/>
</cp:coreProperties>
</file>