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Договор об оказании услуг обмена необеспеченных цифровых активов</w:t>
      </w:r>
    </w:p>
    <w:p>
      <w:pPr>
        <w:widowControl/>
      </w:pPr>
      <w:r>
        <w:t>Публичная оферта</w:t>
      </w:r>
    </w:p>
    <w:p>
      <w:pPr>
        <w:widowControl/>
      </w:pPr>
      <w:r>
        <w:t>Утверждена приказом ТОО «Ausu» № 9 от 17.10.2026 (в новой редакции)</w:t>
      </w:r>
    </w:p>
    <w:p>
      <w:pPr>
        <w:widowControl/>
      </w:pPr>
      <w:r>
        <w:t>Редакция 2026-10-17-v2 от 17 октября 2026 года</w:t>
      </w:r>
    </w:p>
    <w:p>
      <w:pPr>
        <w:widowControl/>
      </w:pPr>
      <w:r>
        <w:t>Дата и время публикации показываются в кабинете вместе с этой редакцией.</w:t>
      </w:r>
    </w:p>
    <w:p>
      <w:pPr>
        <w:widowControl/>
      </w:pPr>
      <w:r>
        <w:t>Эта редакция заменяет редакцию 2026-10-17-v1. В неё вписаны изменения порядка определения курса, о которых клиенты уведомлены 12.10.2026 (пункты 6.2-6.5 и 6.8-6.11). Новый порядок применяется к заявкам, созданным с 27 октября 2026 года. Редакция 2026-10-12-v1 отдельно к принятию не предлагается. Её текст и Тарифы 2026-10-12-v1 остаются опубликованными.</w:t>
      </w:r>
    </w:p>
    <w:p>
      <w:pPr>
        <w:widowControl/>
      </w:pPr>
      <w:r>
        <w:t>Для нового клиента эта редакция вступает в силу и применяется с момента её принятия (пункт 15.2).</w:t>
      </w:r>
    </w:p>
    <w:p>
      <w:pPr>
        <w:widowControl/>
      </w:pPr>
      <w:r>
        <w:t>Для клиентов, принявших редакцию 2026-10-14-v1 или 2026-10-17-v1, продолжает действовать принятая ими редакция, включая условия создания кошелька и хранения. Повторно принимать оферту им не нужно. С 27 октября 2026 года к их новым заявкам применяется новый порядок определения курса по пункту 1.6 принятой ими редакции.</w:t>
      </w:r>
    </w:p>
    <w:p>
      <w:pPr>
        <w:widowControl/>
      </w:pPr>
      <w:r>
        <w:t>Другие действующие клиенты могут принять эту редакцию в кабинете после её публикации. Для них она применяется с момента принятия. С 27 октября 2026 года они создают новые заявки после её принятия. До принятия для них действует ранее заключённый договор.</w:t>
      </w:r>
    </w:p>
    <w:p>
      <w:pPr>
        <w:pStyle w:val="Heading1"/>
        <w:widowControl/>
      </w:pPr>
      <w:r>
        <w:t>1. О чём этот документ</w:t>
      </w:r>
    </w:p>
    <w:p>
      <w:pPr>
        <w:widowControl/>
      </w:pPr>
      <w:r>
        <w:t>1.1. Этот документ является публичной офертой ТОО «Ausu» (далее «Компания», «мы»). Компания предлагает любому лицу, которое отвечает требованиям раздела 4, заключить договор на условиях ниже (статьи 387, 395 и 396 Гражданского кодекса Республики Казахстан).</w:t>
      </w:r>
    </w:p>
    <w:p>
      <w:pPr>
        <w:widowControl/>
      </w:pPr>
      <w:r>
        <w:t>1.2. Договор считается заключённым в момент получения и регистрации Компанией вашего подтверждённого акцепта. Акцептом является отметка о принятии договора и нажатие кнопки подтверждения в кабинете на сайте ausu.kz: при регистрации, в разделе документов кабинета или в окне кошелька (пункт 19.7). С этого момента вы становитесь нашим клиентом (далее «Клиент», «вы»). Согласие на передачу данных Кастодиану и поручение создать кошелёк вы даёте в окне кошелька по пункту 19.7. Для действующего Клиента порядок перехода на новую редакцию установлен разделом 15.</w:t>
      </w:r>
    </w:p>
    <w:p>
      <w:pPr>
        <w:widowControl/>
      </w:pPr>
      <w:r>
        <w:t>1.3. Вместе с этим договором действуют документы: «Тарифы» (с 27 октября 2026 года в редакции 2026-10-12-v1 от 12.10.2026, /legal/versions/2026-10-12-v1/tariffs.html), «Уведомление о рисках операций с цифровыми активами», «Политика конфиденциальности и обработки персональных данных», «Условия использования сайта и кабинета», «Правила приёма и рассмотрения обращений и жалоб» и «Публичная выдержка из Правил внутреннего контроля по ПОД/ФТ». Все они опубликованы на сайте ausu.kz в разделе /legal/ и являются частью договора. Принятие этой оферты включает условия Тарифов; отдельного согласия с Тарифами не требуется. Условия создания кошелька и последующего кастодиального хранения (Дополнение № 1 к Оферте) изложены в разделе 19 и принимаются вместе с Офертой в порядке пункта 19.7.</w:t>
      </w:r>
    </w:p>
    <w:p>
      <w:pPr>
        <w:widowControl/>
      </w:pPr>
      <w:r>
        <w:t>1.4. Компания работает на основании лицензии Национального Банка Республики Казахстан № 1726001О от 30.07.2026 на обмен необеспеченных цифровых активов. Деятельность Компании регулируют следующие акты. Закон Республики Казахстан «О цифровых активах в Республике Казахстан». Правила деятельности операторов обмена необеспеченных цифровых активов, утверждённые постановлением Правления Национального Банка от 29.04.2026 № 45 (далее «Правила № 45»). Закон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«Закон о ПОД/ФТ»). Закон «О персональных данных и их защите». Закон «О защите прав потребителей».</w:t>
      </w:r>
    </w:p>
    <w:p>
      <w:pPr>
        <w:widowControl/>
      </w:pPr>
      <w:r>
        <w:t>1.5. После начала применения настоящей редакции создание и наличие обслуживаемого по разделу 19 кошелька является обязательным этапом для подачи новых обменных заявок. Это условие применяется после вступления редакции в силу с соблюдением пункта 15.2 и после готовности услуги по пункту 19.3. Наличие у вас собственного внешнего кошелька не заменяет этот этап. Договорные условия вы принимаете по пункту 1.2. Согласие на передачу данных Кастодиану и поручение создать кошелёк вы даёте одним подтверждённым действием в окне кошелька по пункту 19.7. Вход в кабинет, просмотр текста, отсутствие возражений и исторический акцепт прежней оферты не считаются новым акцептом или поручением. Если вы не принимаете новые условия, новые обменные заявки после установленной даты не принимаются, но ранее возникшие обязательства, доступ к истории и документам, права на ваши средства и предусмотренный договором безопасный вывод сохраняются. Принятие условий и создание кошелька сами по себе не являются поручением на покупку, продажу, зачисление или перевод ваших активов. Ранее заключённые с вами дополнительные соглашения о порядке определения курса сохраняют силу в пределах соответствующих заявок и на согласованных в них условиях; принятие настоящей редакции в части кошелька и хранения их не изменяет и не заменяет.</w:t>
      </w:r>
    </w:p>
    <w:p>
      <w:pPr>
        <w:widowControl/>
      </w:pPr>
      <w:r>
        <w:t>1.6. В настоящую редакцию вписаны изменения порядка определения курса, опубликованные 12.10.2026 в редакции 2026-10-12-v1 Оферты: пункты 1.3, 6.2-6.5 и 6.8-6.11. Раздел 4 Тарифов в редакции 2026-10-12-v1 применяется по пункту 1.3. Новый порядок применяется к заявкам, созданным с 27 октября 2026 года, в порядке пункта 6.11. Ранее созданные заявки он не изменяет. Ранее принятые индивидуальные соглашения о курсе конкретной заявки сохраняются.</w:t>
      </w:r>
    </w:p>
    <w:p>
      <w:pPr>
        <w:pStyle w:val="Heading1"/>
        <w:widowControl/>
      </w:pPr>
      <w:r>
        <w:t>2. Термины</w:t>
      </w:r>
    </w:p>
    <w:p>
      <w:pPr>
        <w:widowControl/>
      </w:pPr>
      <w:r>
        <w:t xml:space="preserve">2.1. </w:t>
      </w:r>
      <w:r>
        <w:rPr>
          <w:b/>
        </w:rPr>
        <w:t>Актив</w:t>
      </w:r>
      <w:r>
        <w:t>: необеспеченный цифровой актив из перечня, установленного Национальным Банком Республики Казахстан (пункт 57 Правил № 45), который доступен для операций в кабинете. Доступные активы и поддерживаемые сети показываются на сайте и в кабинете перед созданием кошелька и подтверждением операции. Конкретные актив и сеть фиксируются в поручении Клиента. Добавление поддерживаемой сети само по себе не изменяет условия этого договора. Изменение стоимости или иных договорных условий проводится в порядке раздела 15; новая сеть не подключается к уже подтверждённому поручению без согласия Клиента.</w:t>
      </w:r>
    </w:p>
    <w:p>
      <w:pPr>
        <w:widowControl/>
      </w:pPr>
      <w:r>
        <w:t xml:space="preserve">2.2. </w:t>
      </w:r>
      <w:r>
        <w:rPr>
          <w:b/>
        </w:rPr>
        <w:t>Кабинет</w:t>
      </w:r>
      <w:r>
        <w:t>: личный кабинет клиента на сайте ausu.kz.</w:t>
      </w:r>
    </w:p>
    <w:p>
      <w:pPr>
        <w:widowControl/>
      </w:pPr>
      <w:r>
        <w:t xml:space="preserve">2.3. </w:t>
      </w:r>
      <w:r>
        <w:rPr>
          <w:b/>
        </w:rPr>
        <w:t>Заявка</w:t>
      </w:r>
      <w:r>
        <w:t>: ваше поручение купить у нас Актив за тенге или продать нам Актив за тенге. Заявка создаётся в кабинете или в кассе Компании.</w:t>
      </w:r>
    </w:p>
    <w:p>
      <w:pPr>
        <w:widowControl/>
      </w:pPr>
      <w:r>
        <w:t xml:space="preserve">2.4. </w:t>
      </w:r>
      <w:r>
        <w:rPr>
          <w:b/>
        </w:rPr>
        <w:t>Курс</w:t>
      </w:r>
      <w:r>
        <w:t>: цена единицы Актива в тенге, по которой исполняется заявка. Порядок расчёта курса описан в документе «Тарифы».</w:t>
      </w:r>
    </w:p>
    <w:p>
      <w:pPr>
        <w:widowControl/>
      </w:pPr>
      <w:r>
        <w:t xml:space="preserve">2.5. </w:t>
      </w:r>
      <w:r>
        <w:rPr>
          <w:b/>
        </w:rPr>
        <w:t>Кошелёк</w:t>
      </w:r>
      <w:r>
        <w:t>: адрес в сети блокчейн, указанной в заявке, на который вы получаете Актив или с которого отправляете Актив. Порядок создания кошелька средствами Компании с привлечением Кастодиана и его отличие от внешнего кошелька определены разделом 19.</w:t>
      </w:r>
    </w:p>
    <w:p>
      <w:pPr>
        <w:widowControl/>
      </w:pPr>
      <w:r>
        <w:t xml:space="preserve">2.6. </w:t>
      </w:r>
      <w:r>
        <w:rPr>
          <w:b/>
        </w:rPr>
        <w:t>Рабочий день</w:t>
      </w:r>
      <w:r>
        <w:t>: день, который в Республике Казахстан не является выходным или праздничным.</w:t>
      </w:r>
    </w:p>
    <w:p>
      <w:pPr>
        <w:widowControl/>
      </w:pPr>
      <w:r>
        <w:t xml:space="preserve">2.7. </w:t>
      </w:r>
      <w:r>
        <w:rPr>
          <w:b/>
        </w:rPr>
        <w:t>Идентификация</w:t>
      </w:r>
      <w:r>
        <w:t>: проверка вашей личности и сведений о вас по Закону о ПОД/ФТ.</w:t>
      </w:r>
    </w:p>
    <w:p>
      <w:pPr>
        <w:pStyle w:val="Heading1"/>
        <w:widowControl/>
      </w:pPr>
      <w:r>
        <w:t>3. Предмет договора</w:t>
      </w:r>
    </w:p>
    <w:p>
      <w:pPr>
        <w:widowControl/>
      </w:pPr>
      <w:r>
        <w:t>3.1. Компания продаёт вам Актив за тенге и покупает у вас Актив за тенге. Каждая операция оформляется отдельной заявкой.</w:t>
      </w:r>
    </w:p>
    <w:p>
      <w:pPr>
        <w:widowControl/>
      </w:pPr>
      <w:r>
        <w:t>3.2. Компания совершает операции от своего имени и за свой счёт (пункт 27 Правил № 45). Мы являемся стороной сделки с вами. Мы не являемся биржей, брокером или платёжной организацией.</w:t>
      </w:r>
    </w:p>
    <w:p>
      <w:pPr>
        <w:widowControl/>
      </w:pPr>
      <w:r>
        <w:t>3.3. Мы не храним ваши деньги и не открываем вам счета. Деньги, которые вы переводите нам, являются оплатой конкретной заявки. Актив, который вы отправляете нам, является исполнением конкретной заявки. Этот пункт относится к денежным средствам и банковским счетам; создание кошелька и организация хранения цифровых активов по разделу 19 регулируются отдельно.</w:t>
      </w:r>
    </w:p>
    <w:p>
      <w:pPr>
        <w:widowControl/>
      </w:pPr>
      <w:r>
        <w:t>3.4. Выплаты по обменной заявке осуществляются Клиенту. Компания не исполняет платежные обязательства Клиента перед третьими лицами. По разделу 19 Компания вправе зачислить приобретенный Актив на созданный для Клиента кошелек и обеспечить его вывод на другой внешний кошелек, принадлежащий Клиенту, после установленных проверок. Такой вывод не является оплатой товаров, работ или услуг третьего лица.</w:t>
      </w:r>
    </w:p>
    <w:p>
      <w:pPr>
        <w:widowControl/>
      </w:pPr>
      <w:r>
        <w:t>3.5. Актив не является средством платежа и не обеспечивается государством. Подробно о рисках написано в документе «Уведомление о рисках операций с цифровыми активами». Вы подтверждаете, что прочитали его до первой операции.</w:t>
      </w:r>
    </w:p>
    <w:p>
      <w:pPr>
        <w:pStyle w:val="Heading1"/>
        <w:widowControl/>
      </w:pPr>
      <w:r>
        <w:t>4. Кто может стать клиентом</w:t>
      </w:r>
    </w:p>
    <w:p>
      <w:pPr>
        <w:widowControl/>
      </w:pPr>
      <w:r>
        <w:t>4.1. Клиентом может стать физическое лицо, которому исполнилось 18 лет, или юридическое лицо. Компания не обслуживает лиц младше 18 лет (пункт 52 Правил № 45).</w:t>
      </w:r>
    </w:p>
    <w:p>
      <w:pPr>
        <w:widowControl/>
      </w:pPr>
      <w:r>
        <w:t>4.2. Мы не обслуживаем лиц, включённых в перечни организаций и лиц, связанных с финансированием терроризма, экстремизма и распространения оружия массового уничтожения.</w:t>
      </w:r>
    </w:p>
    <w:p>
      <w:pPr>
        <w:widowControl/>
      </w:pPr>
      <w:r>
        <w:t>4.3. Вы действуете от своего имени и за свой счёт. Если вы действуете в интересах другого лица, вы обязаны сообщить нам об этом до первой операции. В этом случае мы проверяем и вас, и это лицо.</w:t>
      </w:r>
    </w:p>
    <w:p>
      <w:pPr>
        <w:widowControl/>
      </w:pPr>
      <w:r>
        <w:t>4.4. Расчёты с клиентами-резидентами Республики Казахстан проводятся в национальной валюте (пункт 26 Правил № 45).</w:t>
      </w:r>
    </w:p>
    <w:p>
      <w:pPr>
        <w:widowControl/>
      </w:pPr>
      <w:r>
        <w:t>4.5. Расчёты с клиентами-нерезидентами проводятся в национальной и (или) иностранной валюте (пункт 26 Правил № 45). Обслуживание в иностранной валюте доступно после отдельного согласования с Компанией. Порядок и валюта расчётов указываются в заявке. Наличные принимаются только в тенге (пункт 34 Правил № 45).</w:t>
      </w:r>
    </w:p>
    <w:p>
      <w:pPr>
        <w:widowControl/>
      </w:pPr>
      <w:r>
        <w:t>4.6. Мы вправе отказать в регистрации или в обслуживании без объяснения причин, если этого требует Закон о ПОД/ФТ или наши внутренние правила по ПОД/ФТ.</w:t>
      </w:r>
    </w:p>
    <w:p>
      <w:pPr>
        <w:pStyle w:val="Heading1"/>
        <w:widowControl/>
      </w:pPr>
      <w:r>
        <w:t>5. Регистрация и проверка</w:t>
      </w:r>
    </w:p>
    <w:p>
      <w:pPr>
        <w:widowControl/>
      </w:pPr>
      <w:r>
        <w:t>5.1. Для регистрации вы указываете номер телефона и адрес электронной почты и подтверждаете их кодами.</w:t>
      </w:r>
    </w:p>
    <w:p>
      <w:pPr>
        <w:widowControl/>
      </w:pPr>
      <w:r>
        <w:t>5.2. До первой операции вы проходите идентификацию (пункт 30 Правил № 45). Граждане и резиденты Казахстана проходят биометрическую идентификацию через Центр обмена идентификационными данными Национального Банка (ЦОИД). Нерезиденты проходят удалённую идентификацию через нашего партнёра по идентификации. Юридические лица предоставляют документы о компании, руководителе, представителе и бенефициарных собственниках.</w:t>
      </w:r>
    </w:p>
    <w:p>
      <w:pPr>
        <w:widowControl/>
      </w:pPr>
      <w:r>
        <w:t>5.3. До первой операции вы проходите тест на знание цифровых активов (пункты 53 и 54 Правил № 45). В тесте не меньше 10 вопросов. Проходной балл: 80 % правильных ответов.</w:t>
      </w:r>
    </w:p>
    <w:p>
      <w:pPr>
        <w:widowControl/>
      </w:pPr>
      <w:r>
        <w:t>5.4. Если вы набрали меньше 80 %, вы можете совершать операции с лимитом. Лимит: покупка активов до 7 000 000 тенге в сутки и продажа активов до 7 000 000 тенге в сутки (пункт 56 Правил № 45). Сутки считаются по времени Астаны с 00:00 до 24:00. Пройти тест повторно можно через 30 календарных дней (пункт 55 Правил № 45).</w:t>
      </w:r>
    </w:p>
    <w:p>
      <w:pPr>
        <w:widowControl/>
      </w:pPr>
      <w:r>
        <w:t>5.5. Если вы набрали 80 % и больше, лимиты по пункту 5.4 не применяются. Компания вправе устанавливать собственные лимиты по заявкам и сообщает о них в кабинете.</w:t>
      </w:r>
    </w:p>
    <w:p>
      <w:pPr>
        <w:widowControl/>
      </w:pPr>
      <w:r>
        <w:t>5.6. Мы вправе запросить у вас дополнительные сведения и документы. Случаи, когда мы это делаем, описаны в документе «Публичная выдержка из Правил внутреннего контроля по ПОД/ФТ». Мы можем задержать или отклонить заявку, пока вы не предоставите документы.</w:t>
      </w:r>
    </w:p>
    <w:p>
      <w:pPr>
        <w:widowControl/>
      </w:pPr>
      <w:r>
        <w:t>5.7. Вы обязаны сообщать нам достоверные данные и обновлять их, если они изменились. Мы вправе попросить вас пройти идентификацию повторно.</w:t>
      </w:r>
    </w:p>
    <w:p>
      <w:pPr>
        <w:pStyle w:val="Heading1"/>
        <w:widowControl/>
      </w:pPr>
      <w:r>
        <w:t>6. Заявка</w:t>
      </w:r>
    </w:p>
    <w:p>
      <w:pPr>
        <w:widowControl/>
      </w:pPr>
      <w:r>
        <w:t>6.1. Заявка создаётся в кабинете после выполнения обязательного этапа создания кошелька по пункту 1.5. При оплате наличными заявку можно создать в кассе с помощью работника Компании; работник не выражает согласие и не направляет поручение на создание кошелька за Клиента. В заявке вы указываете направление операции (покупка или продажа), Актив, сумму и реквизиты для получения: адрес созданного для вас кошелька либо принадлежащего вам внешнего кошелька в поддерживаемой сети при покупке или банковский счёт либо карту при продаже. Выбор внешнего адреса для исполнения покупки не отменяет обязательного этапа по пункту 1.5 и не требует предварительно переводить приобретаемый Актив через созданный кошелёк. Адрес созданного кошелька фиксируется по подтверждённому результату его создания. Сумма одной заявки: от 25 000 до 500 000 000 тенге. Вывод уже находящихся на созданном кошельке Активов на принадлежащий вам внешний кошелёк выполняется по отдельному подтверждённому поручению в порядке раздела 19.</w:t>
      </w:r>
    </w:p>
    <w:p>
      <w:pPr>
        <w:widowControl/>
      </w:pPr>
      <w:r>
        <w:t>6.2. До создания заявки кабинет показывает предварительный расчёт: курс, сумму к оплате и сумму к получению. Первоначальный курс фиксируется в момент создания заявки и сохраняется, если деньги или Актив фактически поступили не позднее двух часов с этого момента, включая точную границу двух часов. Условия позднего поступления предусмотрены пунктами 6.4 и 6.8-6.11 и разделом 4 Тарифов.</w:t>
      </w:r>
    </w:p>
    <w:p>
      <w:pPr>
        <w:widowControl/>
      </w:pPr>
      <w:r>
        <w:t>6.3. Заявка принимается к исполнению после фактического поступления от вас денег или Актива, подтверждения их принадлежности заявке и прохождения проверок по разделу 9. При позднем поступлении используется порядок пункта 6.4.</w:t>
      </w:r>
    </w:p>
    <w:p>
      <w:pPr>
        <w:widowControl/>
      </w:pPr>
      <w:r>
        <w:t>6.4. Если деньги или Актив фактически поступили более чем через два часа после создания заявки, курс определяется на момент этого поступления по Тарифам. При покупке сохраняется фактически поступившая сумма тенге, а количество Актива к отправке пересчитывается. При продаже сохраняется фактически поступившее количество Актива, а сумма тенге к выплате пересчитывается. Повторной оплаты или повторной отправки для такого пересчёта не требуется. Истечение времени оплаты само по себе не означает, что уже поступившие средства утрачены: их принадлежность и время поступления сверяются. Этот порядок не возобновляет заявку, отменённую вами или Компанией по отдельному основанию, и не отменяет отказ по разделу 9; возврат в таких случаях проводится по применимым условиям договора.</w:t>
      </w:r>
    </w:p>
    <w:p>
      <w:pPr>
        <w:widowControl/>
      </w:pPr>
      <w:r>
        <w:t>6.5. Если поступившая сумма отличается от суммы заявки не больше чем на 1 %, мы исполняем заявку на фактически поступившую сумму по курсу, определённому пунктами 6.2 и 6.4. Если разница больше 1 %, мы свяжемся с вами. По вашему выбору мы исполним заявку на фактически поступившую сумму по этому курсу или вернём поступившее.</w:t>
      </w:r>
    </w:p>
    <w:p>
      <w:pPr>
        <w:widowControl/>
      </w:pPr>
      <w:r>
        <w:t>6.6. Внимательно проверяйте адрес кошелька и сеть. Операции в сети блокчейн необратимы. Если вы указали чужой или неверный адрес или адрес в другой сети, вернуть Актив невозможно. Компания отвечает за корректное формирование и отображение адреса создаваемого ею кошелька и выбор согласованной сети, указанный в настоящем пункте риск ошибки Клиента относится к реквизитам, самостоятельно предоставленным им, и не освобождает Компанию от ответственности за ее собственные ошибки.</w:t>
      </w:r>
    </w:p>
    <w:p>
      <w:pPr>
        <w:widowControl/>
      </w:pPr>
      <w:r>
        <w:t>6.7. После исполнения заявки мы формируем в кабинете электронную квитанцию. Это документ, подтверждающий операцию (пункт 40 Правил № 45). В квитанции указаны: номер и дата заявки, вид операции, Актив и сеть блокчейн, сумма в тенге и в Активе, курс, адрес кошелька, идентификатор транзакции в сети блокчейн, реквизиты выплаты, дата и время исполнения. Квитанцию можно скачать. История операций доступна в кабинете.</w:t>
      </w:r>
    </w:p>
    <w:p>
      <w:pPr>
        <w:widowControl/>
      </w:pPr>
      <w:r>
        <w:t>6.8. Для банковского перевода момент поступления определяется по подтверждённым сведениям банка о зачислении денег на счёт Компании. Для Актива используется время включения транзакции в блок соответствующей сети, при условии получения необходимого числа подтверждений, указанного в кабинете. Дата отправки чека, нажатия кнопки «Я оплатил», получения сведений нашей системой или ручной проверки не заменяет момент поступления.</w:t>
      </w:r>
    </w:p>
    <w:p>
      <w:pPr>
        <w:widowControl/>
      </w:pPr>
      <w:r>
        <w:t>6.9. Если надёжно подтвердить момент поступления или курс, действовавший в этот момент, невозможно, заявка передаётся на ручную сверку. Компания не подставляет вместо них время обработки или произвольный текущий курс. Исходные сведения о платеже сохраняются; сотрудник связывается с вами для разрешения ситуации по договору. Проверки отправителя, суммы, реквизитов и подтверждений сети сохраняются.</w:t>
      </w:r>
    </w:p>
    <w:p>
      <w:pPr>
        <w:widowControl/>
      </w:pPr>
      <w:r>
        <w:t>6.10. После пересчёта заявка и квитанция показывают курс и сумму фактического исполнения. Первоначальный расчёт сохраняется в истории; он не заменяет результат исполнения.</w:t>
      </w:r>
    </w:p>
    <w:p>
      <w:pPr>
        <w:widowControl/>
      </w:pPr>
      <w:r>
        <w:t>6.11. Пункты 6.2-6.5 и 6.8-6.10 применяются к заявкам, созданным с 27 октября 2026 года после принятия вами настоящей редакции. К ранее созданным заявкам новый порядок не применяется. К заявкам, созданным до 27 октября 2026 года, применяются пункты 6.2-6.5 в редакции 2026-09-02-v1 (/legal/versions/2026-09-02-v1/offer.html). Если для отдельной заявки вы приняли соглашение о курсе, к ней применяется это соглашение.</w:t>
      </w:r>
    </w:p>
    <w:p>
      <w:pPr>
        <w:pStyle w:val="Heading1"/>
        <w:widowControl/>
      </w:pPr>
      <w:r>
        <w:t>7. Покупка Актива</w:t>
      </w:r>
    </w:p>
    <w:p>
      <w:pPr>
        <w:widowControl/>
      </w:pPr>
      <w:r>
        <w:t>7.1. Вы оплачиваете заявку одним из способов: переводом с вашего банковского счёта или карты на реквизиты Компании, указанные в заявке, или наличными в кассе Компании. При переводе укажите номер заявки в назначении платежа или в комментарии к переводу. Оплата через сервис интернет-эквайринга становится доступной после его подключения. Мы сообщим об этом в кабинете.</w:t>
      </w:r>
    </w:p>
    <w:p>
      <w:pPr>
        <w:widowControl/>
      </w:pPr>
      <w:r>
        <w:t>7.2. Оплата должна поступить с карты или счёта, открытых на ваше имя. Для юридических лиц: только со счёта самого юридического лица.</w:t>
      </w:r>
    </w:p>
    <w:p>
      <w:pPr>
        <w:widowControl/>
      </w:pPr>
      <w:r>
        <w:t>7.3. Наличные принимаются только в кассе Компании после идентификации клиента и в пределах суммы, указанной в заявке. Работник кассы выдаёт вам квитанцию о приёме наличных денег с QR-кодом; после передачи Актива документ об операции появляется в кабинете.</w:t>
      </w:r>
    </w:p>
    <w:p>
      <w:pPr>
        <w:widowControl/>
      </w:pPr>
      <w:r>
        <w:t>7.4. После получения оплаты мы отправляем Актив на адрес кошелька из заявки. Срок: не позднее 2 рабочих дней с момента получения денег (пункт 33 Правил № 45). Обычно это занимает несколько минут. При создании кошелька по разделу 19 Актив отправляется на этот кошелек в тот же установленный настоящим пунктом срок. Период 24 часа для начала последующего хранения не продлевает срок исполнения обменной заявки.</w:t>
      </w:r>
    </w:p>
    <w:p>
      <w:pPr>
        <w:widowControl/>
      </w:pPr>
      <w:r>
        <w:t>7.5. Заявка считается исполненной в момент, когда транзакция отправки Актива записана в сети блокчейн. Идентификатор транзакции (хеш) показывается в кабинете.</w:t>
      </w:r>
    </w:p>
    <w:p>
      <w:pPr>
        <w:widowControl/>
      </w:pPr>
      <w:r>
        <w:t>7.6. Если оплата проходит через сервис интернет-эквайринга, платёж подтверждается вашим банком (3-D Secure). Оспаривание платежа по карте после получения Актива является нарушением договора. В этом случае вы обязаны вернуть Актив или его стоимость по курсу заявки и возместить расходы Компании. До урегулирования мы блокируем кабинет. Мы вправе ограничить сумму покупок по карте и требовать оплату по IBAN для крупных заявок.</w:t>
      </w:r>
    </w:p>
    <w:p>
      <w:pPr>
        <w:pStyle w:val="Heading1"/>
        <w:widowControl/>
      </w:pPr>
      <w:r>
        <w:t>8. Продажа Актива</w:t>
      </w:r>
    </w:p>
    <w:p>
      <w:pPr>
        <w:widowControl/>
      </w:pPr>
      <w:r>
        <w:t>8.1. Вы отправляете Актив на адрес кошелька Компании, указанный в заявке. Отправляйте точную сумму и только в сети блокчейн, указанной в заявке. Актив, отправленный в другой сети или на другой адрес, будет потерян.</w:t>
      </w:r>
    </w:p>
    <w:p>
      <w:pPr>
        <w:widowControl/>
      </w:pPr>
      <w:r>
        <w:t>8.2. Вы отправляете Актив с кошелька, адрес которого указали в заявке. Если вы отправляете Актив со счёта на бирже или у другого провайдера, укажите это в заявке. В этом случае адрес отправителя может отличаться. Если Актив поступил с другого адреса и вы не предупредили нас, мы вправе запросить пояснения и документы до исполнения заявки.</w:t>
      </w:r>
    </w:p>
    <w:p>
      <w:pPr>
        <w:widowControl/>
      </w:pPr>
      <w:r>
        <w:t>8.3. Выплата за Актив идёт на ваш банковский счёт или карту в банке Республики Казахстан, открытые на ваше имя. Выплата наличными не производится (пункт 35 Правил № 45).</w:t>
      </w:r>
    </w:p>
    <w:p>
      <w:pPr>
        <w:widowControl/>
      </w:pPr>
      <w:r>
        <w:t>8.4. Актив считается поступившим после подтверждения транзакции сетью блокчейн. Число подтверждений для каждой сети показывается в кабинете. Срок выплаты: не позднее 2 рабочих дней с момента поступления Актива на наш кошелёк (пункт 33 Правил № 45). Зачисление на ваш счёт зависит от вашего банка.</w:t>
      </w:r>
    </w:p>
    <w:p>
      <w:pPr>
        <w:widowControl/>
      </w:pPr>
      <w:r>
        <w:t>8.5. Актив, отправленный нам без заявки, не считается заявкой. Свяжитесь с поддержкой. После проверки мы вернём их на адрес отправителя за вычетом комиссии сети или по вашей просьбе исполним заявку по курсу на момент её создания.</w:t>
      </w:r>
    </w:p>
    <w:p>
      <w:pPr>
        <w:pStyle w:val="Heading1"/>
        <w:widowControl/>
      </w:pPr>
      <w:r>
        <w:t>9. Проверки, задержки и отказ</w:t>
      </w:r>
    </w:p>
    <w:p>
      <w:pPr>
        <w:widowControl/>
      </w:pPr>
      <w:r>
        <w:t>9.1. Мы проверяем каждую заявку по Закону о ПОД/ФТ и нашим внутренним правилам. Мы проверяем адрес кошелька и транзакцию, соответствие плательщика клиенту и сведения об отправителе и получателе Актива.</w:t>
      </w:r>
    </w:p>
    <w:p>
      <w:pPr>
        <w:widowControl/>
      </w:pPr>
      <w:r>
        <w:t>9.2. В случаях, установленных Законом о ПОД/ФТ и нашими Правилами внутреннего контроля, мы приостанавливаем заявку и запрашиваем у вас сведения и документы. На время приостановления сроки по разделам 7 и 8 не текут.</w:t>
      </w:r>
    </w:p>
    <w:p>
      <w:pPr>
        <w:widowControl/>
      </w:pPr>
      <w:r>
        <w:t>9.3. Если для операции не хватает сведений об отправителе или получателе Актива, мы приостанавливаем операцию не меньше чем на 48 часов до их получения. Если вы не предоставили сведения, мы отказываем в операции (Требования Национального Банка к правилам внутреннего контроля, постановление от 10.04.2026 № 33).</w:t>
      </w:r>
    </w:p>
    <w:p>
      <w:pPr>
        <w:widowControl/>
      </w:pPr>
      <w:r>
        <w:t>9.4. Мы отказываем в операции, если этого требует Закон о ПОД/ФТ, если актив исключён из перечня Национального Банка (пункт 58 Правил № 45) или если операция противоречит этому договору.</w:t>
      </w:r>
    </w:p>
    <w:p>
      <w:pPr>
        <w:widowControl/>
      </w:pPr>
      <w:r>
        <w:t>9.5. При отказе мы возвращаем полученные деньги или Актив на тот же счёт или адрес, с которого они поступили, в течение 5 рабочих дней. Возврат не производится, если закон обязывает нас заморозить деньги или активы.</w:t>
      </w:r>
    </w:p>
    <w:p>
      <w:pPr>
        <w:widowControl/>
      </w:pPr>
      <w:r>
        <w:t>9.6. Закон о ПОД/ФТ запрещает нам сообщать клиенту о передаче сведений в уполномоченный орган по финансовому мониторингу. Поэтому о причинах приостановления или отказа мы сообщаем только то, что вправе сообщить по закону.</w:t>
      </w:r>
    </w:p>
    <w:p>
      <w:pPr>
        <w:pStyle w:val="Heading1"/>
        <w:widowControl/>
      </w:pPr>
      <w:r>
        <w:t>10. Платежи от третьих лиц</w:t>
      </w:r>
    </w:p>
    <w:p>
      <w:pPr>
        <w:widowControl/>
      </w:pPr>
      <w:r>
        <w:t>10.1. Мы не принимаем деньги от третьих лиц. Оплата заявки должна поступить со счёта или карты, открытых на имя клиента.</w:t>
      </w:r>
    </w:p>
    <w:p>
      <w:pPr>
        <w:widowControl/>
      </w:pPr>
      <w:r>
        <w:t>10.2. Если деньги поступили от третьего лица, мы не исполняем заявку. Мы возвращаем деньги отправителю на тот же счёт или карту, с которых они поступили, в течение 5 рабочих дней. Из возвращаемой суммы мы удерживаем фактические расходы банка на возврат.</w:t>
      </w:r>
    </w:p>
    <w:p>
      <w:pPr>
        <w:widowControl/>
      </w:pPr>
      <w:r>
        <w:t>10.3. Если данных отправителя недостаточно для возврата, мы запрашиваем их у вас и у банка. Деньги хранятся у нас до возврата.</w:t>
      </w:r>
    </w:p>
    <w:p>
      <w:pPr>
        <w:widowControl/>
      </w:pPr>
      <w:r>
        <w:t>10.4. Актив, поступивший с адреса, который вы не указывали в заявке, проверяется по разделу 9. Мы вправе вернуть их на адрес отправителя.</w:t>
      </w:r>
    </w:p>
    <w:p>
      <w:pPr>
        <w:pStyle w:val="Heading1"/>
        <w:widowControl/>
      </w:pPr>
      <w:r>
        <w:t>11. Курс и тарифы</w:t>
      </w:r>
    </w:p>
    <w:p>
      <w:pPr>
        <w:widowControl/>
      </w:pPr>
      <w:r>
        <w:t>11.1. Курс рассчитывается по документу «Тарифы». В расчёт входят референсный курс Актива и наш спред: надбавка при покупке, скидка при продаже. Размер спреда зависит от суммы заявки. Курс округляется в вашу пользу. Итоговый курс показывается в кабинете до создания заявки.</w:t>
      </w:r>
    </w:p>
    <w:p>
      <w:pPr>
        <w:widowControl/>
      </w:pPr>
      <w:r>
        <w:t>11.2. Мы не берём плату за регистрацию, ведение кабинета, создание заявки и выплату по обменной заявке. Создание кошелька и кастодиальное хранение по разделу 19 не создают для Клиента обязанности оплачивать хранение: эти расходы несет Компания. При отдельном выводе Актива из созданного кошелька на ваш внешний кошелёк взимается только фактическая комиссия сети по пунктам 11.3 и 19.18. Других комиссий Компании за эти действия нет.</w:t>
      </w:r>
    </w:p>
    <w:p>
      <w:pPr>
        <w:widowControl/>
      </w:pPr>
      <w:r>
        <w:t>11.3. Комиссии вашего банка и комиссии сети блокчейн при отправке Актива нам вы оплачиваете сами. Комиссию сети блокчейн при отправке приобретённого Актива вам по обменной заявке, в том числе на созданный для вас кошелёк, оплачиваем мы. При отдельном выводе Актива из созданного кошелька на внешний кошелек Клиента взимается только фактическая комиссия сети, заранее показанная и подтвержденная Клиентом, комиссия за хранение при этом не удерживается.</w:t>
      </w:r>
    </w:p>
    <w:p>
      <w:pPr>
        <w:widowControl/>
      </w:pPr>
      <w:r>
        <w:t>11.4. Мы вправе менять документ «Тарифы». Новые тарифы действуют для заявок, созданных после вступления соответствующей редакции Тарифов в силу в порядке пункта 15.2. Заявки, созданные раньше, исполняются по старым условиям.</w:t>
      </w:r>
    </w:p>
    <w:p>
      <w:pPr>
        <w:pStyle w:val="Heading1"/>
        <w:widowControl/>
      </w:pPr>
      <w:r>
        <w:t>12. Права и обязанности</w:t>
      </w:r>
    </w:p>
    <w:p>
      <w:pPr>
        <w:widowControl/>
      </w:pPr>
      <w:r>
        <w:t>12.1. Вы вправе: пользоваться кабинетом круглосуточно, кроме времени технических работ; получать информацию о курсе, тарифах и статусе заявки; получать документ о каждой операции; подавать обращения и жалобы; расторгнуть договор.</w:t>
      </w:r>
    </w:p>
    <w:p>
      <w:pPr>
        <w:widowControl/>
      </w:pPr>
      <w:r>
        <w:t>12.2. Вы обязаны: сообщать достоверные данные; пользоваться только своими счетами, картами и кошельками; хранить в тайне пароль и коды подтверждения; не использовать услуги для незаконных целей; не использовать сервисы для сокрытия истории транзакций (миксеры); сообщать нам, если вы, ваш супруг или близкий родственник являетесь публичным должностным лицом; предоставлять документы по нашему запросу; самостоятельно исполнять свои налоговые обязанности по операциям с цифровыми активами.</w:t>
      </w:r>
    </w:p>
    <w:p>
      <w:pPr>
        <w:widowControl/>
      </w:pPr>
      <w:r>
        <w:t>12.3. Мы вправе: проверять вас и ваши операции; приостанавливать и отклонять заявки в случаях, предусмотренных законом и договором; блокировать кабинет при угрозе безопасности; менять условия договора в порядке раздела 15.</w:t>
      </w:r>
    </w:p>
    <w:p>
      <w:pPr>
        <w:widowControl/>
      </w:pPr>
      <w:r>
        <w:t>12.4. Мы обязаны: действовать с приоритетом ваших интересов при исполнении заявок; исполнять заявки в сроки по договору; сообщать о статусе заявки в кабинете; хранить ваши данные по закону; отвечать на обращения в срок; вернуть деньги или Актив при отказе в операции, если возврат не запрещён законом.</w:t>
      </w:r>
    </w:p>
    <w:p>
      <w:pPr>
        <w:pStyle w:val="Heading1"/>
        <w:widowControl/>
      </w:pPr>
      <w:r>
        <w:t>13. Ответственность</w:t>
      </w:r>
    </w:p>
    <w:p>
      <w:pPr>
        <w:widowControl/>
      </w:pPr>
      <w:r>
        <w:t>13.1. Мы отвечаем за ущерб, причинённый вам по нашей вине, в размере фактически причинённого ущерба. Порядок компенсации: если по нашей вине заявка не исполнена, мы возвращаем полученные деньги или Актив в течение 5 рабочих дней; если по нашей вине Актив отправлен на неверный адрес, мы возмещаем его стоимость по курсу заявки; если по нашей вине выплата задержана, мы возмещаем ваши документально подтверждённые расходы. Соглашение об ограничении ответственности не действует при умышленном нарушении (статья 359 Гражданского кодекса).</w:t>
      </w:r>
    </w:p>
    <w:p>
      <w:pPr>
        <w:widowControl/>
      </w:pPr>
      <w:r>
        <w:t>13.2. Мы не отвечаем за: изменение стоимости Актива; Актив, отправленный вами на неверный адрес или в другой сети; потерю вами доступа к кошельку, счёту или кабинету; задержки банков, платёжных систем и сетей блокчейн; действия третьих лиц, которым вы передали доступ; приостановление операций и отказ в операции по Закону о ПОД/ФТ (статья 13 Закона о ПОД/ФТ); убытки от обстоятельств непреодолимой силы. Исключения ответственности по настоящему пункту не распространяются на утрату или компрометацию приватных ключей, нарушение хранения, ошибочное исполнение поручения или невозможность доступа, вызванные нарушением обязательств Компании или привлеченного ею Кастодиана. Распределение ответственности определяется также пунктами 19.20 и 19.21.</w:t>
      </w:r>
    </w:p>
    <w:p>
      <w:pPr>
        <w:widowControl/>
      </w:pPr>
      <w:r>
        <w:t>13.3. Вы отвечаете за достоверность данных, законность происхождения денег и активов и за исполнение своих налоговых обязанностей. Если из-за недостоверных данных мы понесли расходы, вы обязаны их возместить.</w:t>
      </w:r>
    </w:p>
    <w:p>
      <w:pPr>
        <w:widowControl/>
      </w:pPr>
      <w:r>
        <w:t>13.4. Обстоятельства непреодолимой силы: стихийные бедствия, военные действия, решения государственных органов, сбои сетей блокчейн, отключения связи и электроэнергии, которые сторона не могла предвидеть и предотвратить. Сторона, у которой они наступили, сообщает об этом другой стороне в течение 5 рабочих дней.</w:t>
      </w:r>
    </w:p>
    <w:p>
      <w:pPr>
        <w:pStyle w:val="Heading1"/>
        <w:widowControl/>
      </w:pPr>
      <w:r>
        <w:t>14. Персональные данные и конфиденциальность</w:t>
      </w:r>
    </w:p>
    <w:p>
      <w:pPr>
        <w:widowControl/>
      </w:pPr>
      <w:r>
        <w:t>14.1. Мы обрабатываем ваши персональные данные по документу «Политика конфиденциальности и обработки персональных данных». Согласие на обработку вы даёте при регистрации. Передача персональных данных Кастодиану для создания и обслуживания кошелька осуществляется после предоставления Клиенту сведений о получателе, целях и составе данных и получения надлежащего согласия, если оно необходимо по закону, согласие оформляется отдельно от поручения на создание кошелька.</w:t>
      </w:r>
    </w:p>
    <w:p>
      <w:pPr>
        <w:widowControl/>
      </w:pPr>
      <w:r>
        <w:t>14.2. Мы храним сведения о вас и о ваших операциях не меньше 5 лет после прекращения договора или после операции. Так требует Закон о ПОД/ФТ.</w:t>
      </w:r>
    </w:p>
    <w:p>
      <w:pPr>
        <w:pStyle w:val="Heading1"/>
        <w:widowControl/>
      </w:pPr>
      <w:r>
        <w:t>15. Изменение договора</w:t>
      </w:r>
    </w:p>
    <w:p>
      <w:pPr>
        <w:widowControl/>
      </w:pPr>
      <w:r>
        <w:t>15.1. Мы вправе менять этот договор и документы, указанные в пункте 1.3. Новая версия публикуется на сайте ausu.kz в разделе /legal/ и показывается в кабинете. У каждой версии есть номер и дата вступления в силу.</w:t>
      </w:r>
    </w:p>
    <w:p>
      <w:pPr>
        <w:widowControl/>
      </w:pPr>
      <w:r>
        <w:t>15.2. Новая версия вступает в силу не раньше чем через 10 календарных дней после публикации. Для лица, которое приняло новую версию после её публикации, она вступает в силу и применяется с момента её принятия. Изменения Тарифов вступают в силу не раньше чем через 14 календарных дней после уведомления в кабинете и по электронной почте (пункт 9.2 Тарифов). Обязательный этап создания кошелька для новых обменных заявок действующих Клиентов вводится с соблюдением этих сроков, с указанием фактической даты начала применения в опубликованной редакции и уведомлении. Ранее действовавшие условия применяются до наступления соответствующей даты. Публикация, уведомление или вход в кабинет сами по себе не создают кошелёк, согласие или поручение за Клиента.</w:t>
      </w:r>
    </w:p>
    <w:p>
      <w:pPr>
        <w:widowControl/>
      </w:pPr>
      <w:r>
        <w:t>15.3. Заявки, созданные до вступления новой версии в силу, исполняются по прежним условиям.</w:t>
      </w:r>
    </w:p>
    <w:p>
      <w:pPr>
        <w:widowControl/>
      </w:pPr>
      <w:r>
        <w:t>15.4. Если вы не согласны с новой версией, вы вправе расторгнуть договор. Для перехода на условия с обязательным кошельком Компания предоставляет вам полный договорный комплект и отдельное согласие на передачу данных. Вы принимаете договор по пункту 1.2, даёте согласие и направляете поручение создать кошелёк по пункту 19.7. До принятия договора и успешного открытия кошелька новые обменные заявки по этой редакции недоступны. Вход в кабинет, просмотр документов и отсутствие возражений не являются акцептом. Изменение редакции не препятствует исполнению, отмене и завершению ранее созданных заявок, доступу к истории и документам, обращениям и безопасному выводу принадлежащих вам активов. Отказ принять новую редакцию не означает отказа от активов и не является основанием их удержать. Последующие изменения договорных условий требуют предусмотренного настоящим разделом ознакомления и принятия; они не создают повторное поручение на уже существующий кошелёк и не вводят автоматически обязанность Клиента оплачивать хранение. Создание обменной заявки не заменяет принятия условий раздела 19 и поручения создать кошелёк. Изменение таких условий не может автоматически вводить обязанность Клиента оплачивать хранение.</w:t>
      </w:r>
    </w:p>
    <w:p>
      <w:pPr>
        <w:pStyle w:val="Heading1"/>
        <w:widowControl/>
      </w:pPr>
      <w:r>
        <w:t>16. Срок действия и расторжение</w:t>
      </w:r>
    </w:p>
    <w:p>
      <w:pPr>
        <w:widowControl/>
      </w:pPr>
      <w:r>
        <w:t>16.1. Договор действует бессрочно.</w:t>
      </w:r>
    </w:p>
    <w:p>
      <w:pPr>
        <w:widowControl/>
      </w:pPr>
      <w:r>
        <w:t>16.2. Вы вправе расторгнуть договор в любой момент. Для этого направьте заявление на info@ausu.kz или через кабинет. Договор прекращается после исполнения или отмены всех ваших заявок.</w:t>
      </w:r>
    </w:p>
    <w:p>
      <w:pPr>
        <w:widowControl/>
      </w:pPr>
      <w:r>
        <w:t>16.3. Мы вправе расторгнуть договор, предупредив вас за 10 календарных дней через кабинет или по электронной почте, если: вы не пользовались услугами больше 12 месяцев; мы прекращаем деятельность или действие лицензии; изменение закона не позволяет продолжать обслуживание.</w:t>
      </w:r>
    </w:p>
    <w:p>
      <w:pPr>
        <w:widowControl/>
      </w:pPr>
      <w:r>
        <w:t>16.4. Мы вправе прекратить обслуживание немедленно, если этого требует Закон о ПОД/ФТ, если вы нарушили договор или предоставили недостоверные данные.</w:t>
      </w:r>
    </w:p>
    <w:p>
      <w:pPr>
        <w:widowControl/>
      </w:pPr>
      <w:r>
        <w:t>16.5. После расторжения мы храним данные о вас и об операциях в сроки, установленные законом.</w:t>
      </w:r>
    </w:p>
    <w:p>
      <w:pPr>
        <w:widowControl/>
      </w:pPr>
      <w:r>
        <w:t>16.6. Прекращение обменного обслуживания не прекращает право Клиента на оставшиеся в кошельке Активы. Компания обеспечивает согласованный безопасный вывод либо перевод к другому допустимому хранителю по подтвержденному поручению Клиента. Удаление ключей или прекращение необходимых функций доступа до завершения такого вывода не допускаются, кроме действий, обязательных по закону. Законные ограничения операций сохраняются.</w:t>
      </w:r>
    </w:p>
    <w:p>
      <w:pPr>
        <w:pStyle w:val="Heading1"/>
        <w:widowControl/>
      </w:pPr>
      <w:r>
        <w:t>17. Обращения и споры</w:t>
      </w:r>
    </w:p>
    <w:p>
      <w:pPr>
        <w:widowControl/>
      </w:pPr>
      <w:r>
        <w:t>17.1. Если у вас есть претензия, направьте её нам по документу «Правила приёма и рассмотрения обращений и жалоб». Мы отвечаем физическим лицам в течение 10 календарных дней (статья 42-4 Закона «О защите прав потребителей»), юридическим лицам в течение 15 рабочих дней.</w:t>
      </w:r>
    </w:p>
    <w:p>
      <w:pPr>
        <w:widowControl/>
      </w:pPr>
      <w:r>
        <w:t>17.2. Если ответ вас не устроил, вы вправе обратиться в Национальный Банк Республики Казахстан, в уполномоченный орган по защите прав потребителей или в суд.</w:t>
      </w:r>
    </w:p>
    <w:p>
      <w:pPr>
        <w:widowControl/>
      </w:pPr>
      <w:r>
        <w:t>17.3. К договору применяется право Республики Казахстан. Споры рассматриваются в суде по правилам законодательства Республики Казахстан.</w:t>
      </w:r>
    </w:p>
    <w:p>
      <w:pPr>
        <w:pStyle w:val="Heading1"/>
        <w:widowControl/>
      </w:pPr>
      <w:r>
        <w:t>18. Прочие условия</w:t>
      </w:r>
    </w:p>
    <w:p>
      <w:pPr>
        <w:widowControl/>
      </w:pPr>
      <w:r>
        <w:t>18.1. Оферта составлена на русском языке. При размещении переводов на другие языки в случае расхождений приоритет имеет текст на русском языке.</w:t>
      </w:r>
    </w:p>
    <w:p>
      <w:pPr>
        <w:widowControl/>
      </w:pPr>
      <w:r>
        <w:t>18.2. Уведомления направляются через кабинет, по электронной почте или SMS на указанные вами контакты. Уведомление считается полученным в день отправки.</w:t>
      </w:r>
    </w:p>
    <w:p>
      <w:pPr>
        <w:widowControl/>
      </w:pPr>
      <w:r>
        <w:t>18.3. Наши официальные каналы: сайт ausu.kz и кабинет на нём, Telegram-бот @ausu_kzbot, электронная почта info@ausu.kz, телефон и WhatsApp +7 706 668 68 60. Сообщения из других источников от нашего имени являются мошенничеством.</w:t>
      </w:r>
    </w:p>
    <w:p>
      <w:pPr>
        <w:widowControl/>
      </w:pPr>
      <w:r>
        <w:t>18.4. Если отдельное условие договора признано недействительным, остальные условия продолжают действовать.</w:t>
      </w:r>
    </w:p>
    <w:p>
      <w:pPr>
        <w:widowControl/>
      </w:pPr>
      <w:r>
        <w:t>18.5. Заявки, согласия и другие действия, подтверждённые вами в кабинете паролем и кодом подтверждения, считаются совершёнными вами в письменной форме (статья 152 Гражданского кодекса). Записи наших систем о таких действиях являются доказательством.</w:t>
      </w:r>
    </w:p>
    <w:p>
      <w:pPr>
        <w:pStyle w:val="Heading1"/>
        <w:widowControl/>
      </w:pPr>
      <w:r>
        <w:t>19. Создание кошелька и кастодиальное хранение</w:t>
      </w:r>
    </w:p>
    <w:p>
      <w:pPr>
        <w:widowControl/>
      </w:pPr>
      <w:r>
        <w:t>Условия этого раздела (Дополнение № 1) применяются к созданию и обслуживанию кошелька вместе с остальными условиями Оферты. При расхождении приоритет имеют условия этого раздела.</w:t>
      </w:r>
    </w:p>
    <w:p>
      <w:pPr>
        <w:widowControl/>
      </w:pPr>
      <w:r>
        <w:t>19.1. Компания создаёт для вас кошелек в поддерживаемой сети блокчейн по вашему поручению (пункты 1.5 и 19.7). При приобретении Актива вы можете получить его на созданный кошелек или на свой внешний кошелек (пункт 6.1). Услуга предоставляется Клиентам, активам и сетям, обслуживание которых допускается условиями особого режима регулирования Кастодиана. Обменная операция выполняется Компанией по ее лицензии и Оферте.</w:t>
      </w:r>
    </w:p>
    <w:p>
      <w:pPr>
        <w:widowControl/>
      </w:pPr>
      <w:r>
        <w:t>19.2. Для создания кошелька Компания использует программное обеспечение ТОО «CustodianOne», БИН 250840022139, адрес: Республика Казахстан, Бостандыкский район, ул.Байшешек, дом 65 (далее - Кастодиан). Кастодиан осуществляет кастодиальное хранение в рамках особого режима регулирования Национального Банка Республики Казахстан на основании договора об осуществлении деятельности в рамках особого режима регулирования № 84НБ от 11.02.2026, в пределах предусмотренных им условий и ограничений.</w:t>
      </w:r>
    </w:p>
    <w:p>
      <w:pPr>
        <w:widowControl/>
      </w:pPr>
      <w:r>
        <w:t>19.3. Компания заключает с Кастодианом договор об оказании услуг кастодиального хранения для целей учета и хранения активов клиентов Компании (далее - Договор хранения). При этом исключительно Компания выступает клиентом, заказчиком, плательщиком и единственной стороной Договора хранения. Договор хранения не является договором в пользу третьих лиц: Клиент не наделяется правами стороны, выгодоприобретателя или получателя услуг Кастодиана и не приобретает прямого права требования к Кастодиану. Защиту прав и интересов Клиентов во взаимоотношениях с Кастодианом осуществляет Компания самостоятельно.</w:t>
      </w:r>
    </w:p>
    <w:p>
      <w:pPr>
        <w:widowControl/>
      </w:pPr>
      <w:r>
        <w:t>19.4. Созданный кошелек - предназначенный для учета и получения ваших Активов кошелек с адресом в выбранной сети блокчейн, доступный через кабинет Компании. Внешний кошелек - другой кошелек, принадлежащий вам и находящийся вне описанного сервиса. Кастодиальное хранение включает защищенное хранение и управление приватными ключами и необходимыми средствами восстановления доступа, а также обеспечение подписания и выполнения ваших подтвержденных поручений в допустимых пределах. Записи об Активах находятся в блокчейне, хранение ключей обеспечивает возможность распоряжения соответствующими Активами.</w:t>
      </w:r>
    </w:p>
    <w:p>
      <w:pPr>
        <w:widowControl/>
      </w:pPr>
      <w:r>
        <w:t>19.5. Приватные ключи и, если применимо, средства восстановления генерируются криптографическими средствами кошелька с использованием программного обеспечения Кастодиана по алгоритмам соответствующей сети. Приватные ключи не публикуются в блокчейне. Создание кошелька и хранение ключей не передают Компании или Кастодиану право собственности на ваши Активы.</w:t>
      </w:r>
    </w:p>
    <w:p>
      <w:pPr>
        <w:widowControl/>
      </w:pPr>
      <w:r>
        <w:t>19.6. До подачи поручения кабинет предоставляет вам полный текст Дополнения, сведения о Кастодиане, условия доступа, начальном периоде 24 часа, последующем хранении, выводе, сетевых комиссиях, обработке данных и рисках. Документы можно прочитать и сохранить.</w:t>
      </w:r>
    </w:p>
    <w:p>
      <w:pPr>
        <w:widowControl/>
      </w:pPr>
      <w:r>
        <w:t>19.7. Условия этого раздела вы принимаете вместе с Офертой отметкой о принятии договора по пункту 1.2. Рядом с отметкой есть ссылка на полный текст Оферты, включая этот раздел. Согласие на передачу данных Кастодиану вы даёте отдельной отметкой. Отметки не устанавливаются заранее. Если вы уже приняли настоящую редакцию Оферты, повторно отмечать её не нужно. Затем вы нажимаете одну кнопку и подтверждаете действие предусмотренным кабинетом способом аутентификации. Этим действием вы принимаете условия, даёте согласие и направляете поручение создать кошелёк; отдельного шага для поручения не требуется. Окно с отметками открывается в конце регистрации, после идентификации по пункту 5.2, и доступно в кабинете. Компания фиксирует вашу идентификацию, версию документов, дату и время согласия и поручения и предоставляет подтверждение в кабинете.</w:t>
      </w:r>
    </w:p>
    <w:p>
      <w:pPr>
        <w:widowControl/>
      </w:pPr>
      <w:r>
        <w:t>19.8. В поручении указываются Актив и сеть кошелька. Поддерживаемые Активы и сети показаны в кабинете. Компания организует создание кошелька средствами ПО Кастодиана, фиксирует его адрес и момент открытия и отображает их в кабинете. Момент открытия - дата и время успешного создания кошелька, зафиксированные системой и доведенные до вас. Срок 24 часа исчисляется непрерывно с этого момента, а не с начала следующего календарного дня. В кабинете показывается точное время окончания срока с указанием часового пояса.</w:t>
      </w:r>
    </w:p>
    <w:p>
      <w:pPr>
        <w:widowControl/>
      </w:pPr>
      <w:r>
        <w:t>19.9. Приватные ключи с момента их генерации находятся в защищенной среде, предусмотренной согласованной моделью, с обеспечением конфиденциальности, сохранности и учета доступа. Компания обеспечивает такую защиту через Кастодиана также в течение первых 24 часов. Этот начальный период не освобождает Компанию или Кастодиана от обязанностей по защите ключей и ваших Активов.</w:t>
      </w:r>
    </w:p>
    <w:p>
      <w:pPr>
        <w:widowControl/>
      </w:pPr>
      <w:r>
        <w:t>19.10. Период последующего кастодиального хранения по Договору хранения начинается по истечении 24 часов с момента открытия кошелька, если к этому времени вы не вывели все находящиеся на нем Активы на свой внешний кошелек и на кошельке имеется остаток. Частичный вывод не прекращает хранение оставшейся части. Если первое зачисление произошло позднее указанного срока, хранение зачисленных Активов начинается с момента их фактического зачисления.</w:t>
      </w:r>
    </w:p>
    <w:p>
      <w:pPr>
        <w:widowControl/>
      </w:pPr>
      <w:r>
        <w:t>19.11. Если в первые 24 часа все Активы выведены на ваш внешний кошелек и остаток отсутствует, период последующего хранения не начинается. Вывод подтверждается сведениями сети блокчейн и отражается в кабинете. Отправленное вами своевременно поручение сохраняется до исполнения, техническая задержка не снимает обязанности защиты ключей и не создает для вас платы за хранение. Закрытый или отключенный кошелек не следует использовать для новых зачислений без подтверждения Компанией возможности обслуживания.</w:t>
      </w:r>
    </w:p>
    <w:p>
      <w:pPr>
        <w:widowControl/>
      </w:pPr>
      <w:r>
        <w:t>19.12. Доступ к кошельку, сведениям об Активах, истории и функциям подачи поручений предоставляется через сайт и кабинет Компании. Пароль и коды кабинета являются средствами подтверждения ваших действий, а не приватными ключами. При кастодиальной модели приватные ключи и мнемонические фразы вам не раскрываются, распоряжение осуществляется через подтвержденные поручения. Порядок восстановления доступа предусматривает повторное подтверждение личности.</w:t>
      </w:r>
    </w:p>
    <w:p>
      <w:pPr>
        <w:widowControl/>
      </w:pPr>
      <w:r>
        <w:t>19.13. Компания и Кастодиан не вправе использовать ваши Активы для собственных сделок, кредитования, залога или иных целей, не предусмотренных вашим подтвержденным поручением и законом. Принадлежность Активов Клиентам учитывается таким образом, чтобы ваши остатки и поручения можно было достоверно определить.</w:t>
      </w:r>
    </w:p>
    <w:p>
      <w:pPr>
        <w:widowControl/>
      </w:pPr>
      <w:r>
        <w:t>19.14. Расходы на кастодиальное хранение несет Компания. Она оплачивает Кастодиану услуги по хранению Активов Клиентов за счет собственных средств. Стоимость, порядок расчета и оплаты определяются Договором хранения между Компанией и Кастодианом. Для вас хранение предоставляется без отдельной платы: счета за хранение вам не выставляются, задолженность за хранение, обязанность возместить расходы Компании или удержание платы из ваших Активов не возникают.</w:t>
      </w:r>
    </w:p>
    <w:p>
      <w:pPr>
        <w:widowControl/>
      </w:pPr>
      <w:r>
        <w:t>19.15. Изменение цены в Договоре хранения влияет на расчеты Компании и Кастодиана и не возлагает на вас расходы автоматически. Компания обеспечивает, чтобы спор или задержка ее оплаты Кастодиану не служили основанием для удержания ваших Активов, утраты доступа или отказа в законном поручении на вывод.</w:t>
      </w:r>
    </w:p>
    <w:p>
      <w:pPr>
        <w:widowControl/>
      </w:pPr>
      <w:r>
        <w:t>19.16. Вы вправе в течение первых 24 часов и в любой последующий момент направить через кабинет поручение на вывод всех или части Активов на свой внешний кошелек в поддерживаемой сети. До подтверждения показываются адрес, сеть, сумма, фактическая комиссия сети и сумма получения. Компания выполняет установленные законом проверки принадлежности и реквизитов кошелька, вы подтверждаете поручение предусмотренным способом.</w:t>
      </w:r>
    </w:p>
    <w:p>
      <w:pPr>
        <w:widowControl/>
      </w:pPr>
      <w:r>
        <w:t>19.17. Корректное поручение на вывод передается для исполнения без необоснованной задержки. Компания обеспечивает отправку транзакции не позднее двух рабочих дней с момента получения подтвержденного поручения и необходимых для его исполнения сведений, кроме законного приостановления или технической невозможности сети, о которой вам сообщается. Идентификатор и статус транзакции отображаются в кабинете. Фактическое время подтверждения транзакции зависит от сети блокчейн.</w:t>
      </w:r>
    </w:p>
    <w:p>
      <w:pPr>
        <w:widowControl/>
      </w:pPr>
      <w:r>
        <w:t>19.18. Комиссия сети при отдельном выводе оплачивается вами в сумме, показанной до подтверждения, комиссия за хранение или скрытая комиссия Компании за такой вывод не взимается. Если исходящая транзакция не отправлена, удержанная для нее комиссия подлежит возврату, кроме документально подтвержденных уже понесенных расходов сети. Комиссию первоначального отправления приобретенного Актива на созданный кошелек оплачивает Компания по пункту 11.3 Оферты.</w:t>
      </w:r>
    </w:p>
    <w:p>
      <w:pPr>
        <w:widowControl/>
      </w:pPr>
      <w:r>
        <w:t>19.19. Приостановление или отказ в исполнении поручения допускаются по основаниям законодательства о ПОД/ФТ/ФРОМУ, обязательного акта уполномоченного органа либо для предотвращения выявленной угрозы безопасности. Ограничение применяется в необходимом объеме, о статусе и допустимых к раскрытию причинах вам сообщается. Ограничение доступа к кабинету не прекращает ваши права на Активы. Компания предоставляет безопасный способ обращения и подтверждения поручения через официальную поддержку.</w:t>
      </w:r>
    </w:p>
    <w:p>
      <w:pPr>
        <w:widowControl/>
      </w:pPr>
      <w:r>
        <w:t>19.20. Компания отвечает перед вами за надлежащее исполнение своих обязанностей по созданию кошелька, работе интерфейса, корректной передаче поручений и организации услуги с привлечением Кастодиана. Привлечение Кастодиана не исключает установленную законом ответственность Компании как оператора обмена. Компания обеспечивает закрепление в Договоре хранения ответственности Кастодиана перед Компанией за сохранность ключей, защиту доступа и надлежащее исполнение принятых им поручений. Требования, связанные с хранением Активов, вы предъявляете Компании. Требования к Кастодиану по Договору хранения предъявляет Компания.</w:t>
      </w:r>
    </w:p>
    <w:p>
      <w:pPr>
        <w:widowControl/>
      </w:pPr>
      <w:r>
        <w:t>19.21. Утрата приватных ключей, их компрометация или сбой привлеченного исполнителя не могут автоматически быть отнесены к вашему риску только потому, что кошелек создан для вас. Ответственность и возмещение ущерба определяются причиной нарушения, обязанностями соответствующего лица и законодательством. Рыночное изменение стоимости Активов само по себе не является нарушением хранения.</w:t>
      </w:r>
    </w:p>
    <w:p>
      <w:pPr>
        <w:widowControl/>
      </w:pPr>
      <w:r>
        <w:t>19.22. При вашем отказе от хранения, прекращении обменного договора, смене Кастодиана или прекращении его допуска к особому режиму Компания обеспечивает заблаговременное уведомление, когда это возможно, и безопасное завершение хранения: вывод на ваш внешний кошелек либо перевод к другому допустимому хранителю после вашего отдельного согласия. До завершения вывода защита ключей сохраняется. Прекращение договора не означает списание, присвоение или уничтожение ваших Активов, действия по обязательному замораживанию выполняются по закону.</w:t>
      </w:r>
    </w:p>
    <w:p>
      <w:pPr>
        <w:widowControl/>
      </w:pPr>
      <w:r>
        <w:t>19.23. Для исполнения поручения Компания передает Кастодиану только необходимые данные о Клиенте, кошельке и операциях при наличии надлежащего основания. Приватные ключи и средства восстановления защищаются как конфиденциальная информация.</w:t>
      </w:r>
    </w:p>
    <w:p>
      <w:pPr>
        <w:widowControl/>
      </w:pPr>
      <w:r>
        <w:t>19.24. Претензии по созданию, доступу, выводу и хранению направляйте Компании через кабинет или по адресу info@ausu.kz. Компания регистрирует обращение, организует его рассмотрение с Кастодианом и отвечает в сроки раздела 17. Права на обращение к регулятору и в суд сохраняются.</w:t>
      </w:r>
    </w:p>
    <w:p>
      <w:pPr>
        <w:widowControl/>
      </w:pPr>
      <w:r>
        <w:t>19.25. Кастодиальная модель предполагает зависимость доступа от работы сервиса, сохранности ключей и выполнения обязанностей Компанией и Кастодианом. Участие Кастодиана в особом режиме регулирования не означает гарантии Национального Банка по сохранности Активов или возмещению потерь. Применяются предусмотренные законом и договором способы защиты ваших прав.</w:t>
      </w:r>
    </w:p>
    <w:p>
      <w:pPr>
        <w:widowControl/>
      </w:pPr>
      <w:r/>
      <w:r>
        <w:rPr>
          <w:b/>
        </w:rPr>
        <w:t>Реквизиты Компании</w:t>
      </w:r>
      <w:r/>
    </w:p>
    <w:p>
      <w:pPr>
        <w:widowControl/>
      </w:pPr>
      <w:r>
        <w:t>Товарищество с ограниченной ответственностью «Ausu» (бренд AUSU)</w:t>
      </w:r>
    </w:p>
    <w:p>
      <w:pPr>
        <w:widowControl/>
      </w:pPr>
      <w:r>
        <w:t>БИН 260540022655</w:t>
      </w:r>
    </w:p>
    <w:p>
      <w:pPr>
        <w:widowControl/>
      </w:pPr>
      <w:r>
        <w:t>Лицензия Национального Банка Республики Казахстан № 1726001О от 30.07.2026 на обмен необеспеченных цифровых активов</w:t>
      </w:r>
    </w:p>
    <w:p>
      <w:pPr>
        <w:widowControl/>
      </w:pPr>
      <w:r>
        <w:t>Юридический адрес: Республика Казахстан, 160000, г. Шымкент, Аль-Фарабийский район, ул. Бекет Батыр, 127А</w:t>
      </w:r>
    </w:p>
    <w:p>
      <w:pPr>
        <w:widowControl/>
      </w:pPr>
      <w:r>
        <w:t>Офис и касса: г. Шымкент, ул. Аймаутова, 99/1</w:t>
      </w:r>
    </w:p>
    <w:p>
      <w:pPr>
        <w:widowControl/>
      </w:pPr>
      <w:r>
        <w:t>Банковские реквизиты для оплаты заявки указываются в заявке в кабинете.</w:t>
      </w:r>
    </w:p>
    <w:p>
      <w:pPr>
        <w:widowControl/>
      </w:pPr>
      <w:r>
        <w:t>Телефон: +7 706 668 68 60</w:t>
      </w:r>
    </w:p>
    <w:p>
      <w:pPr>
        <w:widowControl/>
      </w:pPr>
      <w:r>
        <w:t>E-mail: info@ausu.kz</w:t>
      </w:r>
    </w:p>
    <w:p>
      <w:pPr>
        <w:widowControl/>
      </w:pPr>
      <w:r>
        <w:t>Сайт и кабинет: ausu.kz. Telegram-бот для клиентов: @ausu_kzbot</w:t>
      </w:r>
    </w:p>
    <w:p>
      <w:pPr>
        <w:widowControl/>
      </w:pPr>
      <w:r>
        <w:t>Директор: Сахаров Никита Сергеевич</w:t>
      </w:r>
    </w:p>
    <w:sectPr w:rsidR="00FC693F" w:rsidRPr="0006063C" w:rsidSect="00034616">
      <w:footerReference w:type="default" r:id="rId9"/>
      <w:pgSz w:w="11906" w:h="16838"/>
      <w:pgMar w:top="964" w:right="96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245" w:lineRule="auto"/>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line="245"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5" w:lineRule="auto"/>
      <w:contextualSpacing/>
    </w:pPr>
    <w:rPr>
      <w:rFonts w:asciiTheme="majorHAnsi" w:eastAsiaTheme="majorEastAsia" w:hAnsiTheme="majorHAnsi" w:cstheme="majorBidi" w:ascii="Calibri" w:hAnsi="Calibri"/>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 обмена необеспеченных цифровых активов</dc:title>
  <dc:subject>Публичная оферта, редакция 2026-10-17-v2</dc:subject>
  <dc:creator>ТОО Ausu</dc:creator>
  <cp:keywords/>
  <dc:description>generated by python-docx</dc:description>
  <cp:lastModifiedBy/>
  <cp:revision>1</cp:revision>
  <dcterms:created xsi:type="dcterms:W3CDTF">2013-12-23T23:15:00Z</dcterms:created>
  <dcterms:modified xsi:type="dcterms:W3CDTF">2013-12-23T23:15:00Z</dcterms:modified>
  <cp:category/>
</cp:coreProperties>
</file>